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71F9" w14:textId="77777777" w:rsidR="005B47B3" w:rsidRDefault="005B47B3" w:rsidP="005F1984">
      <w:pPr>
        <w:jc w:val="center"/>
        <w:rPr>
          <w:rFonts w:ascii="Arial" w:hAnsi="Arial" w:cs="Arial"/>
          <w:b/>
          <w:sz w:val="56"/>
          <w:szCs w:val="56"/>
        </w:rPr>
      </w:pPr>
    </w:p>
    <w:p w14:paraId="29726B5E" w14:textId="07BACC5E" w:rsidR="008E20B8" w:rsidRDefault="008E20B8" w:rsidP="001C0BBD">
      <w:pPr>
        <w:jc w:val="center"/>
        <w:rPr>
          <w:rFonts w:ascii="Arial" w:hAnsi="Arial" w:cs="Arial"/>
          <w:b/>
          <w:sz w:val="56"/>
          <w:szCs w:val="56"/>
        </w:rPr>
      </w:pPr>
      <w:r>
        <w:rPr>
          <w:rFonts w:ascii="Arial" w:hAnsi="Arial" w:cs="Arial"/>
          <w:b/>
          <w:sz w:val="56"/>
          <w:szCs w:val="56"/>
        </w:rPr>
        <w:t>South Ayrshire Council</w:t>
      </w:r>
    </w:p>
    <w:p w14:paraId="258DCB65" w14:textId="3D24A9A0" w:rsidR="00B32E63" w:rsidRDefault="008E20B8" w:rsidP="005F1984">
      <w:pPr>
        <w:ind w:left="720" w:firstLine="720"/>
        <w:jc w:val="center"/>
        <w:rPr>
          <w:rFonts w:ascii="Arial" w:hAnsi="Arial" w:cs="Arial"/>
          <w:b/>
          <w:sz w:val="56"/>
          <w:szCs w:val="56"/>
        </w:rPr>
      </w:pPr>
      <w:r>
        <w:rPr>
          <w:rFonts w:ascii="Arial" w:hAnsi="Arial" w:cs="Arial"/>
          <w:b/>
          <w:sz w:val="56"/>
          <w:szCs w:val="56"/>
        </w:rPr>
        <w:t>Joint Negotiating Committee For Teachers</w:t>
      </w:r>
    </w:p>
    <w:p w14:paraId="39702B9E" w14:textId="77777777" w:rsidR="001C0BBD" w:rsidRDefault="001C0BBD" w:rsidP="001C0BBD">
      <w:pPr>
        <w:rPr>
          <w:rFonts w:ascii="Arial" w:hAnsi="Arial" w:cs="Arial"/>
          <w:b/>
          <w:sz w:val="56"/>
          <w:szCs w:val="56"/>
        </w:rPr>
      </w:pPr>
    </w:p>
    <w:p w14:paraId="1DF8C5E9" w14:textId="1F460EB6" w:rsidR="001C0BBD" w:rsidRDefault="001C0BBD" w:rsidP="001C0BBD">
      <w:pPr>
        <w:rPr>
          <w:rFonts w:ascii="Arial" w:hAnsi="Arial" w:cs="Arial"/>
          <w:b/>
          <w:sz w:val="56"/>
          <w:szCs w:val="56"/>
        </w:rPr>
      </w:pPr>
      <w:r>
        <w:rPr>
          <w:rFonts w:ascii="Arial" w:hAnsi="Arial" w:cs="Arial"/>
          <w:b/>
          <w:sz w:val="56"/>
          <w:szCs w:val="56"/>
        </w:rPr>
        <w:t>Section 2: School Management</w:t>
      </w:r>
      <w:r w:rsidR="00B32E63">
        <w:rPr>
          <w:rFonts w:ascii="Arial" w:hAnsi="Arial" w:cs="Arial"/>
          <w:b/>
          <w:sz w:val="56"/>
          <w:szCs w:val="56"/>
        </w:rPr>
        <w:t xml:space="preserve">   </w:t>
      </w:r>
    </w:p>
    <w:p w14:paraId="368BFFC4" w14:textId="243EF2E3" w:rsidR="00C03674" w:rsidRDefault="001C0BBD" w:rsidP="00B32E63">
      <w:pPr>
        <w:jc w:val="center"/>
        <w:rPr>
          <w:rFonts w:ascii="Arial" w:hAnsi="Arial" w:cs="Arial"/>
          <w:b/>
          <w:sz w:val="56"/>
          <w:szCs w:val="56"/>
        </w:rPr>
      </w:pPr>
      <w:r>
        <w:rPr>
          <w:rFonts w:ascii="Arial" w:hAnsi="Arial" w:cs="Arial"/>
          <w:b/>
          <w:sz w:val="56"/>
          <w:szCs w:val="56"/>
        </w:rPr>
        <w:t>Secondary Moving to Faculty Structures (JNCT 2.10)</w:t>
      </w:r>
    </w:p>
    <w:p w14:paraId="2F59B48A" w14:textId="77777777" w:rsidR="00B32E63" w:rsidRDefault="00B32E63" w:rsidP="00B32E63">
      <w:pPr>
        <w:jc w:val="center"/>
        <w:rPr>
          <w:rFonts w:ascii="Arial" w:hAnsi="Arial" w:cs="Arial"/>
          <w:b/>
          <w:sz w:val="44"/>
          <w:szCs w:val="44"/>
        </w:rPr>
      </w:pPr>
    </w:p>
    <w:p w14:paraId="1F6FD5B8" w14:textId="77777777" w:rsidR="00B32E63" w:rsidRDefault="00B32E63" w:rsidP="00B32E63">
      <w:pPr>
        <w:jc w:val="both"/>
        <w:rPr>
          <w:rFonts w:ascii="Arial" w:hAnsi="Arial" w:cs="Arial"/>
          <w:b/>
          <w:sz w:val="22"/>
        </w:rPr>
      </w:pPr>
    </w:p>
    <w:p w14:paraId="2066C78A" w14:textId="77777777" w:rsidR="00B32E63" w:rsidRDefault="00B32E63" w:rsidP="00B32E63">
      <w:pPr>
        <w:jc w:val="both"/>
        <w:rPr>
          <w:rFonts w:ascii="Arial" w:hAnsi="Arial" w:cs="Arial"/>
          <w:b/>
          <w:sz w:val="22"/>
        </w:rPr>
      </w:pPr>
    </w:p>
    <w:p w14:paraId="2201CEDA" w14:textId="77777777" w:rsidR="00B32E63" w:rsidRDefault="00B32E63" w:rsidP="00B32E63">
      <w:pPr>
        <w:jc w:val="both"/>
        <w:rPr>
          <w:rFonts w:ascii="Arial" w:hAnsi="Arial" w:cs="Arial"/>
          <w:b/>
          <w:sz w:val="22"/>
        </w:rPr>
      </w:pPr>
    </w:p>
    <w:p w14:paraId="3A69533E" w14:textId="77777777" w:rsidR="00B32E63" w:rsidRDefault="00B32E63" w:rsidP="00B32E63">
      <w:pPr>
        <w:jc w:val="both"/>
        <w:rPr>
          <w:rFonts w:ascii="Arial" w:hAnsi="Arial" w:cs="Arial"/>
          <w:b/>
          <w:sz w:val="22"/>
        </w:rPr>
      </w:pPr>
    </w:p>
    <w:p w14:paraId="75AB4763" w14:textId="77777777" w:rsidR="00B32E63" w:rsidRDefault="00B32E63" w:rsidP="00B32E63">
      <w:pPr>
        <w:jc w:val="both"/>
        <w:rPr>
          <w:rFonts w:ascii="Arial" w:hAnsi="Arial" w:cs="Arial"/>
          <w:b/>
          <w:sz w:val="22"/>
        </w:rPr>
      </w:pPr>
    </w:p>
    <w:p w14:paraId="46DEA750" w14:textId="77777777" w:rsidR="001277E4" w:rsidRDefault="00B51448" w:rsidP="00B32E63">
      <w:r>
        <w:rPr>
          <w:rFonts w:ascii="Arial" w:hAnsi="Arial" w:cs="Arial"/>
          <w:b/>
          <w:noProof/>
          <w:sz w:val="22"/>
          <w:lang w:eastAsia="en-GB"/>
        </w:rPr>
        <mc:AlternateContent>
          <mc:Choice Requires="wps">
            <w:drawing>
              <wp:anchor distT="0" distB="0" distL="114300" distR="114300" simplePos="0" relativeHeight="251662336" behindDoc="0" locked="0" layoutInCell="1" allowOverlap="1" wp14:anchorId="57FC8032" wp14:editId="0CCEE558">
                <wp:simplePos x="0" y="0"/>
                <wp:positionH relativeFrom="column">
                  <wp:posOffset>3710354</wp:posOffset>
                </wp:positionH>
                <wp:positionV relativeFrom="paragraph">
                  <wp:posOffset>2636227</wp:posOffset>
                </wp:positionV>
                <wp:extent cx="2646338" cy="905217"/>
                <wp:effectExtent l="0" t="0" r="20955" b="28575"/>
                <wp:wrapNone/>
                <wp:docPr id="6" name="Text Box 6"/>
                <wp:cNvGraphicFramePr/>
                <a:graphic xmlns:a="http://schemas.openxmlformats.org/drawingml/2006/main">
                  <a:graphicData uri="http://schemas.microsoft.com/office/word/2010/wordprocessingShape">
                    <wps:wsp>
                      <wps:cNvSpPr txBox="1"/>
                      <wps:spPr>
                        <a:xfrm>
                          <a:off x="0" y="0"/>
                          <a:ext cx="2646338" cy="9052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7F0F7A" w14:textId="77777777" w:rsidR="00B51448" w:rsidRDefault="00B51448">
                            <w:r>
                              <w:t>Reference:</w:t>
                            </w:r>
                          </w:p>
                          <w:p w14:paraId="6881704B" w14:textId="77777777" w:rsidR="008E20B8" w:rsidRDefault="008E20B8">
                            <w:r>
                              <w:t>JNCT 1.</w:t>
                            </w:r>
                            <w:r w:rsidR="00C03674">
                              <w:t>2</w:t>
                            </w:r>
                          </w:p>
                          <w:p w14:paraId="48BDD732" w14:textId="22B211FD" w:rsidR="008E20B8" w:rsidRDefault="008E20B8">
                            <w:r>
                              <w:t xml:space="preserve">Date Reviewed:  </w:t>
                            </w:r>
                            <w:r w:rsidR="001C0BBD">
                              <w:t>October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C8032" id="_x0000_t202" coordsize="21600,21600" o:spt="202" path="m,l,21600r21600,l21600,xe">
                <v:stroke joinstyle="miter"/>
                <v:path gradientshapeok="t" o:connecttype="rect"/>
              </v:shapetype>
              <v:shape id="Text Box 6" o:spid="_x0000_s1026" type="#_x0000_t202" style="position:absolute;margin-left:292.15pt;margin-top:207.6pt;width:208.35pt;height:7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" fillcolor="white [3201]" strokeweight=".5pt">
                <v:textbox>
                  <w:txbxContent>
                    <w:p w14:paraId="1F7F0F7A" w14:textId="77777777" w:rsidR="00B51448" w:rsidRDefault="00B51448">
                      <w:r>
                        <w:t>Reference:</w:t>
                      </w:r>
                    </w:p>
                    <w:p w14:paraId="6881704B" w14:textId="77777777" w:rsidR="008E20B8" w:rsidRDefault="008E20B8">
                      <w:r>
                        <w:t>JNCT 1.</w:t>
                      </w:r>
                      <w:r w:rsidR="00C03674">
                        <w:t>2</w:t>
                      </w:r>
                    </w:p>
                    <w:p w14:paraId="48BDD732" w14:textId="22B211FD" w:rsidR="008E20B8" w:rsidRDefault="008E20B8">
                      <w:r>
                        <w:t xml:space="preserve">Date Reviewed:  </w:t>
                      </w:r>
                      <w:r w:rsidR="001C0BBD">
                        <w:t>October 2022</w:t>
                      </w:r>
                    </w:p>
                  </w:txbxContent>
                </v:textbox>
              </v:shape>
            </w:pict>
          </mc:Fallback>
        </mc:AlternateContent>
      </w:r>
      <w:r w:rsidR="001277E4">
        <w:br w:type="page"/>
      </w:r>
    </w:p>
    <w:p w14:paraId="66C575C3" w14:textId="77777777" w:rsidR="009410F0" w:rsidRDefault="009410F0" w:rsidP="00B51448">
      <w:pPr>
        <w:pStyle w:val="TOCHeading"/>
      </w:pPr>
    </w:p>
    <w:p w14:paraId="4043A18A" w14:textId="77777777" w:rsidR="009410F0" w:rsidRDefault="009410F0" w:rsidP="00B51448">
      <w:pPr>
        <w:pStyle w:val="TOCHeading"/>
      </w:pPr>
    </w:p>
    <w:p w14:paraId="7D9913F4" w14:textId="77777777" w:rsidR="009410F0" w:rsidRPr="006F6C2A" w:rsidRDefault="009410F0" w:rsidP="009410F0">
      <w:pPr>
        <w:pStyle w:val="Heading1"/>
        <w:numPr>
          <w:ilvl w:val="0"/>
          <w:numId w:val="0"/>
        </w:numPr>
        <w:spacing w:after="0"/>
        <w:rPr>
          <w:color w:val="auto"/>
        </w:rPr>
      </w:pPr>
      <w:bookmarkStart w:id="0" w:name="_Toc507682602"/>
      <w:bookmarkStart w:id="1" w:name="_Toc117099305"/>
      <w:r>
        <w:rPr>
          <w:color w:val="auto"/>
        </w:rPr>
        <w:t>Version Control</w:t>
      </w:r>
      <w:bookmarkEnd w:id="0"/>
      <w:bookmarkEnd w:id="1"/>
    </w:p>
    <w:p w14:paraId="749F7C43" w14:textId="77777777" w:rsidR="009410F0" w:rsidRDefault="009410F0" w:rsidP="009410F0">
      <w:pPr>
        <w:spacing w:after="0"/>
        <w:rPr>
          <w:b/>
        </w:rPr>
      </w:pPr>
    </w:p>
    <w:tbl>
      <w:tblPr>
        <w:tblW w:w="5000" w:type="pct"/>
        <w:shd w:val="clear" w:color="auto" w:fill="FFFFFF" w:themeFill="background1"/>
        <w:tblCellMar>
          <w:left w:w="0" w:type="dxa"/>
          <w:right w:w="0" w:type="dxa"/>
        </w:tblCellMar>
        <w:tblLook w:val="04A0" w:firstRow="1" w:lastRow="0" w:firstColumn="1" w:lastColumn="0" w:noHBand="0" w:noVBand="1"/>
      </w:tblPr>
      <w:tblGrid>
        <w:gridCol w:w="1012"/>
        <w:gridCol w:w="2122"/>
        <w:gridCol w:w="2114"/>
        <w:gridCol w:w="1510"/>
        <w:gridCol w:w="3084"/>
      </w:tblGrid>
      <w:tr w:rsidR="009410F0" w:rsidRPr="0059640C" w14:paraId="7932E2A2" w14:textId="77777777" w:rsidTr="00A3400A">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56F03AA" w14:textId="77777777" w:rsidR="009410F0" w:rsidRPr="0059640C" w:rsidRDefault="009410F0" w:rsidP="00A3400A">
            <w:pPr>
              <w:spacing w:after="0" w:line="240" w:lineRule="auto"/>
              <w:jc w:val="center"/>
              <w:rPr>
                <w:rFonts w:cs="Arial"/>
                <w:b/>
                <w:bCs/>
                <w:color w:val="auto"/>
                <w:szCs w:val="20"/>
              </w:rPr>
            </w:pPr>
            <w:r w:rsidRPr="0059640C">
              <w:rPr>
                <w:rFonts w:cs="Arial"/>
                <w:b/>
                <w:bCs/>
                <w:color w:val="auto"/>
                <w:szCs w:val="20"/>
              </w:rPr>
              <w:t>Version</w:t>
            </w:r>
          </w:p>
        </w:tc>
        <w:tc>
          <w:tcPr>
            <w:tcW w:w="1078"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EEC44D6" w14:textId="77777777" w:rsidR="009410F0" w:rsidRPr="0059640C" w:rsidRDefault="009410F0" w:rsidP="00A3400A">
            <w:pPr>
              <w:spacing w:after="0" w:line="240" w:lineRule="auto"/>
              <w:jc w:val="center"/>
              <w:rPr>
                <w:rFonts w:cs="Arial"/>
                <w:b/>
                <w:bCs/>
                <w:color w:val="auto"/>
                <w:szCs w:val="20"/>
              </w:rPr>
            </w:pPr>
            <w:r w:rsidRPr="0059640C">
              <w:rPr>
                <w:rFonts w:cs="Arial"/>
                <w:b/>
                <w:bCs/>
                <w:color w:val="auto"/>
                <w:szCs w:val="20"/>
              </w:rPr>
              <w:t>Date Issued</w:t>
            </w:r>
          </w:p>
        </w:tc>
        <w:tc>
          <w:tcPr>
            <w:tcW w:w="107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919826F" w14:textId="77777777" w:rsidR="009410F0" w:rsidRPr="0059640C" w:rsidRDefault="009410F0" w:rsidP="00A3400A">
            <w:pPr>
              <w:spacing w:after="0" w:line="240" w:lineRule="auto"/>
              <w:jc w:val="center"/>
              <w:rPr>
                <w:rFonts w:cs="Arial"/>
                <w:b/>
                <w:bCs/>
                <w:color w:val="auto"/>
                <w:szCs w:val="20"/>
              </w:rPr>
            </w:pPr>
            <w:r w:rsidRPr="0059640C">
              <w:rPr>
                <w:rFonts w:cs="Arial"/>
                <w:b/>
                <w:bCs/>
                <w:color w:val="auto"/>
                <w:szCs w:val="20"/>
              </w:rPr>
              <w:t>Last Review Date</w:t>
            </w:r>
          </w:p>
        </w:tc>
        <w:tc>
          <w:tcPr>
            <w:tcW w:w="7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2ADBB1C" w14:textId="77777777" w:rsidR="009410F0" w:rsidRPr="0059640C" w:rsidRDefault="009410F0" w:rsidP="00A3400A">
            <w:pPr>
              <w:spacing w:after="0" w:line="240" w:lineRule="auto"/>
              <w:jc w:val="center"/>
              <w:rPr>
                <w:rFonts w:cs="Arial"/>
                <w:b/>
                <w:bCs/>
                <w:color w:val="auto"/>
                <w:szCs w:val="20"/>
              </w:rPr>
            </w:pPr>
            <w:r w:rsidRPr="0059640C">
              <w:rPr>
                <w:rFonts w:cs="Arial"/>
                <w:b/>
                <w:bCs/>
                <w:color w:val="auto"/>
                <w:szCs w:val="20"/>
              </w:rPr>
              <w:t>Author</w:t>
            </w:r>
          </w:p>
        </w:tc>
        <w:tc>
          <w:tcPr>
            <w:tcW w:w="15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DEFF264" w14:textId="77777777" w:rsidR="009410F0" w:rsidRPr="0059640C" w:rsidRDefault="009410F0" w:rsidP="00A3400A">
            <w:pPr>
              <w:spacing w:after="0" w:line="240" w:lineRule="auto"/>
              <w:jc w:val="center"/>
              <w:rPr>
                <w:rFonts w:cs="Arial"/>
                <w:b/>
                <w:bCs/>
                <w:color w:val="auto"/>
                <w:szCs w:val="20"/>
              </w:rPr>
            </w:pPr>
            <w:r w:rsidRPr="0059640C">
              <w:rPr>
                <w:rFonts w:cs="Arial"/>
                <w:b/>
                <w:bCs/>
                <w:color w:val="auto"/>
                <w:szCs w:val="20"/>
              </w:rPr>
              <w:t>Update Information</w:t>
            </w:r>
          </w:p>
        </w:tc>
      </w:tr>
      <w:tr w:rsidR="009410F0" w:rsidRPr="0059640C" w14:paraId="50921DC5" w14:textId="77777777" w:rsidTr="00A3400A">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02D47E1" w14:textId="77777777" w:rsidR="009410F0" w:rsidRPr="0059640C" w:rsidRDefault="00756666" w:rsidP="00A3400A">
            <w:pPr>
              <w:spacing w:after="0" w:line="240" w:lineRule="auto"/>
              <w:jc w:val="center"/>
              <w:rPr>
                <w:rFonts w:cs="Arial"/>
                <w:b/>
                <w:bCs/>
                <w:color w:val="auto"/>
                <w:szCs w:val="20"/>
              </w:rPr>
            </w:pPr>
            <w:r>
              <w:rPr>
                <w:rFonts w:cs="Arial"/>
                <w:b/>
                <w:bCs/>
                <w:color w:val="auto"/>
                <w:szCs w:val="20"/>
              </w:rPr>
              <w:t>1</w:t>
            </w:r>
          </w:p>
        </w:tc>
        <w:tc>
          <w:tcPr>
            <w:tcW w:w="1078"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42B5349" w14:textId="77777777" w:rsidR="009410F0" w:rsidRPr="0059640C" w:rsidRDefault="00756666" w:rsidP="00A3400A">
            <w:pPr>
              <w:spacing w:after="0" w:line="240" w:lineRule="auto"/>
              <w:jc w:val="center"/>
              <w:rPr>
                <w:rFonts w:cs="Arial"/>
                <w:bCs/>
                <w:color w:val="auto"/>
                <w:szCs w:val="20"/>
              </w:rPr>
            </w:pPr>
            <w:r>
              <w:rPr>
                <w:rFonts w:cs="Arial"/>
                <w:bCs/>
                <w:color w:val="auto"/>
                <w:szCs w:val="20"/>
              </w:rPr>
              <w:t>April 2015</w:t>
            </w:r>
          </w:p>
        </w:tc>
        <w:tc>
          <w:tcPr>
            <w:tcW w:w="107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D26FB7A" w14:textId="77777777" w:rsidR="009410F0" w:rsidRPr="0059640C" w:rsidRDefault="009410F0" w:rsidP="00A3400A">
            <w:pPr>
              <w:spacing w:after="0" w:line="240" w:lineRule="auto"/>
              <w:jc w:val="center"/>
              <w:rPr>
                <w:rFonts w:cs="Arial"/>
                <w:bCs/>
                <w:color w:val="auto"/>
                <w:szCs w:val="20"/>
              </w:rPr>
            </w:pPr>
          </w:p>
        </w:tc>
        <w:tc>
          <w:tcPr>
            <w:tcW w:w="7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B8A36A2" w14:textId="77777777" w:rsidR="009410F0" w:rsidRPr="0059640C" w:rsidRDefault="009410F0" w:rsidP="00A3400A">
            <w:pPr>
              <w:spacing w:after="0" w:line="240" w:lineRule="auto"/>
              <w:jc w:val="center"/>
              <w:rPr>
                <w:rFonts w:cs="Arial"/>
                <w:bCs/>
                <w:color w:val="auto"/>
                <w:szCs w:val="20"/>
              </w:rPr>
            </w:pPr>
          </w:p>
        </w:tc>
        <w:tc>
          <w:tcPr>
            <w:tcW w:w="15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05ED15A" w14:textId="77777777" w:rsidR="009410F0" w:rsidRPr="0059640C" w:rsidRDefault="009410F0" w:rsidP="00A3400A">
            <w:pPr>
              <w:spacing w:after="0" w:line="240" w:lineRule="auto"/>
              <w:jc w:val="both"/>
              <w:rPr>
                <w:rFonts w:cs="Arial"/>
                <w:bCs/>
                <w:color w:val="auto"/>
                <w:szCs w:val="20"/>
              </w:rPr>
            </w:pPr>
          </w:p>
        </w:tc>
      </w:tr>
      <w:tr w:rsidR="009410F0" w:rsidRPr="0059640C" w14:paraId="4AEF29C6" w14:textId="77777777" w:rsidTr="00A3400A">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08CF1A0" w14:textId="77777777" w:rsidR="009410F0" w:rsidRPr="0059640C" w:rsidRDefault="00756666" w:rsidP="00A3400A">
            <w:pPr>
              <w:spacing w:after="0" w:line="240" w:lineRule="auto"/>
              <w:jc w:val="center"/>
              <w:rPr>
                <w:rFonts w:cs="Arial"/>
                <w:b/>
                <w:bCs/>
                <w:color w:val="auto"/>
                <w:szCs w:val="20"/>
              </w:rPr>
            </w:pPr>
            <w:r>
              <w:rPr>
                <w:rFonts w:cs="Arial"/>
                <w:b/>
                <w:bCs/>
                <w:color w:val="auto"/>
                <w:szCs w:val="20"/>
              </w:rPr>
              <w:t>2</w:t>
            </w:r>
          </w:p>
        </w:tc>
        <w:tc>
          <w:tcPr>
            <w:tcW w:w="1078"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A1E4DF0" w14:textId="77777777" w:rsidR="009410F0" w:rsidRPr="0059640C" w:rsidRDefault="00756666" w:rsidP="00A3400A">
            <w:pPr>
              <w:spacing w:after="0" w:line="240" w:lineRule="auto"/>
              <w:jc w:val="center"/>
              <w:rPr>
                <w:rFonts w:cs="Arial"/>
                <w:bCs/>
                <w:color w:val="auto"/>
                <w:szCs w:val="20"/>
              </w:rPr>
            </w:pPr>
            <w:r>
              <w:rPr>
                <w:rFonts w:cs="Arial"/>
                <w:bCs/>
                <w:color w:val="auto"/>
                <w:szCs w:val="20"/>
              </w:rPr>
              <w:t>August 2019</w:t>
            </w:r>
          </w:p>
        </w:tc>
        <w:tc>
          <w:tcPr>
            <w:tcW w:w="107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7A09640" w14:textId="77777777" w:rsidR="009410F0" w:rsidRPr="0059640C" w:rsidRDefault="009410F0" w:rsidP="00A3400A">
            <w:pPr>
              <w:spacing w:after="0" w:line="240" w:lineRule="auto"/>
              <w:jc w:val="center"/>
              <w:rPr>
                <w:rFonts w:cs="Arial"/>
                <w:bCs/>
                <w:color w:val="auto"/>
                <w:szCs w:val="20"/>
              </w:rPr>
            </w:pPr>
          </w:p>
        </w:tc>
        <w:tc>
          <w:tcPr>
            <w:tcW w:w="7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6B0F993" w14:textId="77777777" w:rsidR="009410F0" w:rsidRPr="0059640C" w:rsidRDefault="00756666" w:rsidP="00A3400A">
            <w:pPr>
              <w:spacing w:after="0" w:line="240" w:lineRule="auto"/>
              <w:jc w:val="center"/>
              <w:rPr>
                <w:rFonts w:cs="Arial"/>
                <w:bCs/>
                <w:color w:val="auto"/>
                <w:szCs w:val="20"/>
              </w:rPr>
            </w:pPr>
            <w:r>
              <w:rPr>
                <w:rFonts w:cs="Arial"/>
                <w:bCs/>
                <w:color w:val="auto"/>
                <w:szCs w:val="20"/>
              </w:rPr>
              <w:t>J Galloway</w:t>
            </w:r>
          </w:p>
        </w:tc>
        <w:tc>
          <w:tcPr>
            <w:tcW w:w="15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E6384EB" w14:textId="77777777" w:rsidR="009410F0" w:rsidRPr="0059640C" w:rsidRDefault="009410F0" w:rsidP="00A3400A">
            <w:pPr>
              <w:spacing w:after="0" w:line="240" w:lineRule="auto"/>
              <w:jc w:val="both"/>
              <w:rPr>
                <w:rFonts w:cs="Arial"/>
                <w:bCs/>
                <w:color w:val="auto"/>
                <w:szCs w:val="20"/>
              </w:rPr>
            </w:pPr>
          </w:p>
        </w:tc>
      </w:tr>
      <w:tr w:rsidR="009410F0" w:rsidRPr="0059640C" w14:paraId="5668F8E0" w14:textId="77777777" w:rsidTr="00A3400A">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4227B41" w14:textId="2468CD63" w:rsidR="009410F0" w:rsidRPr="0059640C" w:rsidRDefault="001C0BBD" w:rsidP="00A3400A">
            <w:pPr>
              <w:spacing w:after="0" w:line="240" w:lineRule="auto"/>
              <w:jc w:val="center"/>
              <w:rPr>
                <w:rFonts w:cs="Arial"/>
                <w:b/>
                <w:bCs/>
                <w:color w:val="auto"/>
                <w:szCs w:val="20"/>
              </w:rPr>
            </w:pPr>
            <w:r>
              <w:rPr>
                <w:rFonts w:cs="Arial"/>
                <w:b/>
                <w:bCs/>
                <w:color w:val="auto"/>
                <w:szCs w:val="20"/>
              </w:rPr>
              <w:t>3</w:t>
            </w:r>
          </w:p>
        </w:tc>
        <w:tc>
          <w:tcPr>
            <w:tcW w:w="1078"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9DF3CC9" w14:textId="0F45AB57" w:rsidR="009410F0" w:rsidRPr="0059640C" w:rsidRDefault="001C0BBD" w:rsidP="00A3400A">
            <w:pPr>
              <w:spacing w:after="0" w:line="240" w:lineRule="auto"/>
              <w:jc w:val="center"/>
              <w:rPr>
                <w:rFonts w:cs="Arial"/>
                <w:bCs/>
                <w:color w:val="auto"/>
                <w:szCs w:val="20"/>
              </w:rPr>
            </w:pPr>
            <w:r>
              <w:rPr>
                <w:rFonts w:cs="Arial"/>
                <w:bCs/>
                <w:color w:val="auto"/>
                <w:szCs w:val="20"/>
              </w:rPr>
              <w:t>October 2022</w:t>
            </w:r>
          </w:p>
        </w:tc>
        <w:tc>
          <w:tcPr>
            <w:tcW w:w="107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42BD280" w14:textId="77777777" w:rsidR="009410F0" w:rsidRPr="0059640C" w:rsidRDefault="009410F0" w:rsidP="00A3400A">
            <w:pPr>
              <w:spacing w:after="0" w:line="240" w:lineRule="auto"/>
              <w:jc w:val="center"/>
              <w:rPr>
                <w:rFonts w:cs="Arial"/>
                <w:bCs/>
                <w:color w:val="auto"/>
                <w:szCs w:val="20"/>
              </w:rPr>
            </w:pPr>
          </w:p>
        </w:tc>
        <w:tc>
          <w:tcPr>
            <w:tcW w:w="7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037260E" w14:textId="73F05973" w:rsidR="009410F0" w:rsidRPr="0059640C" w:rsidRDefault="001C0BBD" w:rsidP="00A3400A">
            <w:pPr>
              <w:spacing w:after="0" w:line="240" w:lineRule="auto"/>
              <w:jc w:val="center"/>
              <w:rPr>
                <w:rFonts w:cs="Arial"/>
                <w:bCs/>
                <w:color w:val="auto"/>
                <w:szCs w:val="20"/>
              </w:rPr>
            </w:pPr>
            <w:r>
              <w:rPr>
                <w:rFonts w:cs="Arial"/>
                <w:bCs/>
                <w:color w:val="auto"/>
                <w:szCs w:val="20"/>
              </w:rPr>
              <w:t>K McKay</w:t>
            </w:r>
          </w:p>
        </w:tc>
        <w:tc>
          <w:tcPr>
            <w:tcW w:w="15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EBBD1B6" w14:textId="2959BA67" w:rsidR="009410F0" w:rsidRPr="0059640C" w:rsidRDefault="003C6A7B" w:rsidP="00A3400A">
            <w:pPr>
              <w:spacing w:after="0" w:line="240" w:lineRule="auto"/>
              <w:jc w:val="both"/>
              <w:rPr>
                <w:rFonts w:cs="Arial"/>
                <w:bCs/>
                <w:color w:val="auto"/>
                <w:szCs w:val="20"/>
              </w:rPr>
            </w:pPr>
            <w:r>
              <w:rPr>
                <w:rFonts w:cs="Arial"/>
                <w:bCs/>
                <w:color w:val="auto"/>
                <w:szCs w:val="20"/>
              </w:rPr>
              <w:t>Removal of historical dates</w:t>
            </w:r>
          </w:p>
        </w:tc>
      </w:tr>
      <w:tr w:rsidR="009410F0" w:rsidRPr="0059640C" w14:paraId="142C32C8" w14:textId="77777777" w:rsidTr="00A3400A">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4208757" w14:textId="77777777" w:rsidR="009410F0" w:rsidRPr="0059640C" w:rsidRDefault="009410F0" w:rsidP="00A3400A">
            <w:pPr>
              <w:spacing w:after="0" w:line="240" w:lineRule="auto"/>
              <w:jc w:val="center"/>
              <w:rPr>
                <w:rFonts w:cs="Arial"/>
                <w:b/>
                <w:bCs/>
                <w:color w:val="auto"/>
                <w:szCs w:val="20"/>
              </w:rPr>
            </w:pPr>
          </w:p>
        </w:tc>
        <w:tc>
          <w:tcPr>
            <w:tcW w:w="1078"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EF4BF8A" w14:textId="77777777" w:rsidR="009410F0" w:rsidRPr="0059640C" w:rsidRDefault="009410F0" w:rsidP="00A3400A">
            <w:pPr>
              <w:spacing w:after="0" w:line="240" w:lineRule="auto"/>
              <w:jc w:val="center"/>
              <w:rPr>
                <w:rFonts w:cs="Arial"/>
                <w:bCs/>
                <w:color w:val="auto"/>
                <w:szCs w:val="20"/>
              </w:rPr>
            </w:pPr>
          </w:p>
        </w:tc>
        <w:tc>
          <w:tcPr>
            <w:tcW w:w="107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E64EE0B" w14:textId="77777777" w:rsidR="009410F0" w:rsidRPr="0059640C" w:rsidRDefault="009410F0" w:rsidP="00A3400A">
            <w:pPr>
              <w:spacing w:after="0" w:line="240" w:lineRule="auto"/>
              <w:jc w:val="center"/>
              <w:rPr>
                <w:rFonts w:cs="Arial"/>
                <w:bCs/>
                <w:color w:val="auto"/>
                <w:szCs w:val="20"/>
              </w:rPr>
            </w:pPr>
          </w:p>
        </w:tc>
        <w:tc>
          <w:tcPr>
            <w:tcW w:w="7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10CFED4" w14:textId="77777777" w:rsidR="009410F0" w:rsidRPr="0059640C" w:rsidRDefault="009410F0" w:rsidP="00A3400A">
            <w:pPr>
              <w:spacing w:after="0" w:line="240" w:lineRule="auto"/>
              <w:jc w:val="center"/>
              <w:rPr>
                <w:rFonts w:cs="Arial"/>
                <w:bCs/>
                <w:color w:val="auto"/>
                <w:szCs w:val="20"/>
              </w:rPr>
            </w:pPr>
          </w:p>
        </w:tc>
        <w:tc>
          <w:tcPr>
            <w:tcW w:w="15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A98D4E5" w14:textId="77777777" w:rsidR="009410F0" w:rsidRPr="0059640C" w:rsidRDefault="009410F0" w:rsidP="00A3400A">
            <w:pPr>
              <w:spacing w:after="0" w:line="240" w:lineRule="auto"/>
              <w:jc w:val="both"/>
              <w:rPr>
                <w:rFonts w:cs="Arial"/>
                <w:bCs/>
                <w:color w:val="auto"/>
                <w:szCs w:val="20"/>
              </w:rPr>
            </w:pPr>
          </w:p>
        </w:tc>
      </w:tr>
      <w:tr w:rsidR="009410F0" w14:paraId="66DBF7F3" w14:textId="77777777" w:rsidTr="00A3400A">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EA4D11C" w14:textId="77777777" w:rsidR="009410F0" w:rsidRPr="002C192F" w:rsidRDefault="009410F0" w:rsidP="00A3400A">
            <w:pPr>
              <w:spacing w:after="0" w:line="240" w:lineRule="auto"/>
              <w:jc w:val="center"/>
              <w:rPr>
                <w:rFonts w:cs="Arial"/>
                <w:b/>
                <w:bCs/>
                <w:color w:val="auto"/>
                <w:szCs w:val="20"/>
              </w:rPr>
            </w:pPr>
          </w:p>
        </w:tc>
        <w:tc>
          <w:tcPr>
            <w:tcW w:w="1078"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3F710B1" w14:textId="77777777" w:rsidR="009410F0" w:rsidRPr="002C192F" w:rsidRDefault="009410F0" w:rsidP="00A3400A">
            <w:pPr>
              <w:spacing w:after="0" w:line="240" w:lineRule="auto"/>
              <w:jc w:val="center"/>
              <w:rPr>
                <w:rFonts w:cs="Arial"/>
                <w:bCs/>
                <w:color w:val="auto"/>
                <w:szCs w:val="20"/>
              </w:rPr>
            </w:pPr>
          </w:p>
        </w:tc>
        <w:tc>
          <w:tcPr>
            <w:tcW w:w="107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84810F9" w14:textId="77777777" w:rsidR="009410F0" w:rsidRPr="002C192F" w:rsidRDefault="009410F0" w:rsidP="00A3400A">
            <w:pPr>
              <w:spacing w:after="0" w:line="240" w:lineRule="auto"/>
              <w:jc w:val="center"/>
              <w:rPr>
                <w:rFonts w:cs="Arial"/>
                <w:bCs/>
                <w:color w:val="auto"/>
                <w:szCs w:val="20"/>
              </w:rPr>
            </w:pPr>
          </w:p>
        </w:tc>
        <w:tc>
          <w:tcPr>
            <w:tcW w:w="7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FBFDC8D" w14:textId="77777777" w:rsidR="009410F0" w:rsidRPr="002C192F" w:rsidRDefault="009410F0" w:rsidP="00A3400A">
            <w:pPr>
              <w:spacing w:after="0" w:line="240" w:lineRule="auto"/>
              <w:jc w:val="center"/>
              <w:rPr>
                <w:rFonts w:cs="Arial"/>
                <w:bCs/>
                <w:color w:val="auto"/>
                <w:szCs w:val="20"/>
              </w:rPr>
            </w:pPr>
          </w:p>
        </w:tc>
        <w:tc>
          <w:tcPr>
            <w:tcW w:w="15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E7CDAA0" w14:textId="77777777" w:rsidR="009410F0" w:rsidRPr="002C192F" w:rsidRDefault="009410F0" w:rsidP="00A3400A">
            <w:pPr>
              <w:spacing w:after="0" w:line="240" w:lineRule="auto"/>
              <w:jc w:val="both"/>
              <w:rPr>
                <w:rFonts w:cs="Arial"/>
                <w:bCs/>
                <w:color w:val="auto"/>
                <w:szCs w:val="20"/>
              </w:rPr>
            </w:pPr>
          </w:p>
        </w:tc>
      </w:tr>
    </w:tbl>
    <w:p w14:paraId="1FC41E97" w14:textId="77777777" w:rsidR="009410F0" w:rsidRDefault="009410F0" w:rsidP="00B51448">
      <w:pPr>
        <w:pStyle w:val="TOCHeading"/>
      </w:pPr>
    </w:p>
    <w:p w14:paraId="41D63D41" w14:textId="77777777" w:rsidR="009410F0" w:rsidRDefault="009410F0" w:rsidP="00B51448">
      <w:pPr>
        <w:pStyle w:val="TOCHeading"/>
      </w:pPr>
    </w:p>
    <w:p w14:paraId="52F8BB82" w14:textId="77777777" w:rsidR="009410F0" w:rsidRDefault="009410F0" w:rsidP="00B51448">
      <w:pPr>
        <w:pStyle w:val="TOCHeading"/>
      </w:pPr>
    </w:p>
    <w:p w14:paraId="2B3E3C59" w14:textId="77777777" w:rsidR="009410F0" w:rsidRDefault="009410F0" w:rsidP="00B51448">
      <w:pPr>
        <w:pStyle w:val="TOCHeading"/>
      </w:pPr>
    </w:p>
    <w:p w14:paraId="0D9DFF2C" w14:textId="77777777" w:rsidR="009410F0" w:rsidRDefault="009410F0" w:rsidP="00B51448">
      <w:pPr>
        <w:pStyle w:val="TOCHeading"/>
      </w:pPr>
    </w:p>
    <w:p w14:paraId="0152F07D" w14:textId="77777777" w:rsidR="009410F0" w:rsidRDefault="009410F0" w:rsidP="00B51448">
      <w:pPr>
        <w:pStyle w:val="TOCHeading"/>
      </w:pPr>
    </w:p>
    <w:p w14:paraId="65E0930C" w14:textId="77777777" w:rsidR="009410F0" w:rsidRDefault="009410F0" w:rsidP="00B51448">
      <w:pPr>
        <w:pStyle w:val="TOCHeading"/>
      </w:pPr>
    </w:p>
    <w:p w14:paraId="73761092" w14:textId="77777777" w:rsidR="00197BC3" w:rsidRDefault="00197BC3"/>
    <w:p w14:paraId="136694D9" w14:textId="77777777" w:rsidR="00907A5E" w:rsidRDefault="00907A5E"/>
    <w:p w14:paraId="6168FA35" w14:textId="77777777" w:rsidR="00907A5E" w:rsidRDefault="00907A5E"/>
    <w:p w14:paraId="1353B7FF" w14:textId="77777777" w:rsidR="00907A5E" w:rsidRDefault="00907A5E"/>
    <w:p w14:paraId="0DC664F7" w14:textId="77777777" w:rsidR="00907A5E" w:rsidRDefault="00907A5E"/>
    <w:p w14:paraId="0F1C1B78" w14:textId="77777777" w:rsidR="00907A5E" w:rsidRDefault="00907A5E"/>
    <w:p w14:paraId="445685DD" w14:textId="77777777" w:rsidR="00907A5E" w:rsidRDefault="00907A5E"/>
    <w:p w14:paraId="465A3CC3" w14:textId="77777777" w:rsidR="00907A5E" w:rsidRDefault="00907A5E"/>
    <w:p w14:paraId="0ED9D7A4" w14:textId="77777777" w:rsidR="00907A5E" w:rsidRDefault="00907A5E"/>
    <w:p w14:paraId="5632570A" w14:textId="77777777" w:rsidR="00907A5E" w:rsidRDefault="00907A5E"/>
    <w:p w14:paraId="6441F7C4" w14:textId="77777777" w:rsidR="00907A5E" w:rsidRDefault="00907A5E"/>
    <w:p w14:paraId="51CB11F0" w14:textId="77777777" w:rsidR="00907A5E" w:rsidRDefault="00907A5E"/>
    <w:p w14:paraId="767C0810" w14:textId="77777777" w:rsidR="00907A5E" w:rsidRDefault="00907A5E"/>
    <w:p w14:paraId="0F4E52E3" w14:textId="77777777" w:rsidR="00B06CC6" w:rsidRDefault="00B06CC6"/>
    <w:sdt>
      <w:sdtPr>
        <w:rPr>
          <w:b/>
          <w:color w:val="807F83" w:themeColor="text1"/>
          <w:sz w:val="20"/>
          <w:szCs w:val="22"/>
        </w:rPr>
        <w:id w:val="1038701366"/>
        <w:docPartObj>
          <w:docPartGallery w:val="Table of Contents"/>
          <w:docPartUnique/>
        </w:docPartObj>
      </w:sdtPr>
      <w:sdtEndPr>
        <w:rPr>
          <w:bCs/>
          <w:noProof/>
        </w:rPr>
      </w:sdtEndPr>
      <w:sdtContent>
        <w:p w14:paraId="4ACE98B8" w14:textId="77777777" w:rsidR="009410F0" w:rsidRPr="003A1927" w:rsidRDefault="009410F0" w:rsidP="009410F0">
          <w:pPr>
            <w:pStyle w:val="TOCHeading"/>
          </w:pPr>
          <w:r w:rsidRPr="003A1927">
            <w:t>Contents</w:t>
          </w:r>
        </w:p>
        <w:p w14:paraId="377343DB" w14:textId="013D73C1" w:rsidR="001C0BBD" w:rsidRDefault="009410F0">
          <w:pPr>
            <w:pStyle w:val="TOC1"/>
            <w:rPr>
              <w:rFonts w:eastAsiaTheme="minorEastAsia"/>
              <w:noProof/>
              <w:color w:val="auto"/>
              <w:sz w:val="22"/>
              <w:lang w:eastAsia="en-GB"/>
            </w:rPr>
          </w:pPr>
          <w:r>
            <w:rPr>
              <w:noProof/>
              <w:color w:val="auto"/>
            </w:rPr>
            <w:fldChar w:fldCharType="begin"/>
          </w:r>
          <w:r>
            <w:instrText xml:space="preserve"> TOC \o "1-1" \h \z \u </w:instrText>
          </w:r>
          <w:r>
            <w:rPr>
              <w:noProof/>
              <w:color w:val="auto"/>
            </w:rPr>
            <w:fldChar w:fldCharType="separate"/>
          </w:r>
          <w:hyperlink w:anchor="_Toc117099305" w:history="1">
            <w:r w:rsidR="001C0BBD" w:rsidRPr="000F3C36">
              <w:rPr>
                <w:rStyle w:val="Hyperlink"/>
                <w:noProof/>
              </w:rPr>
              <w:t>Version Control</w:t>
            </w:r>
            <w:r w:rsidR="001C0BBD">
              <w:rPr>
                <w:noProof/>
                <w:webHidden/>
              </w:rPr>
              <w:tab/>
            </w:r>
            <w:r w:rsidR="001C0BBD">
              <w:rPr>
                <w:noProof/>
                <w:webHidden/>
              </w:rPr>
              <w:fldChar w:fldCharType="begin"/>
            </w:r>
            <w:r w:rsidR="001C0BBD">
              <w:rPr>
                <w:noProof/>
                <w:webHidden/>
              </w:rPr>
              <w:instrText xml:space="preserve"> PAGEREF _Toc117099305 \h </w:instrText>
            </w:r>
            <w:r w:rsidR="001C0BBD">
              <w:rPr>
                <w:noProof/>
                <w:webHidden/>
              </w:rPr>
            </w:r>
            <w:r w:rsidR="001C0BBD">
              <w:rPr>
                <w:noProof/>
                <w:webHidden/>
              </w:rPr>
              <w:fldChar w:fldCharType="separate"/>
            </w:r>
            <w:r w:rsidR="001C0BBD">
              <w:rPr>
                <w:noProof/>
                <w:webHidden/>
              </w:rPr>
              <w:t>2</w:t>
            </w:r>
            <w:r w:rsidR="001C0BBD">
              <w:rPr>
                <w:noProof/>
                <w:webHidden/>
              </w:rPr>
              <w:fldChar w:fldCharType="end"/>
            </w:r>
          </w:hyperlink>
        </w:p>
        <w:p w14:paraId="5BFF09D0" w14:textId="47FD99FE" w:rsidR="001C0BBD" w:rsidRDefault="003C6A7B">
          <w:pPr>
            <w:pStyle w:val="TOC1"/>
            <w:rPr>
              <w:rFonts w:eastAsiaTheme="minorEastAsia"/>
              <w:noProof/>
              <w:color w:val="auto"/>
              <w:sz w:val="22"/>
              <w:lang w:eastAsia="en-GB"/>
            </w:rPr>
          </w:pPr>
          <w:hyperlink w:anchor="_Toc117099306" w:history="1">
            <w:r w:rsidR="001C0BBD" w:rsidRPr="000F3C36">
              <w:rPr>
                <w:rStyle w:val="Hyperlink"/>
                <w:noProof/>
              </w:rPr>
              <w:t>1.</w:t>
            </w:r>
            <w:r w:rsidR="001C0BBD">
              <w:rPr>
                <w:rFonts w:eastAsiaTheme="minorEastAsia"/>
                <w:noProof/>
                <w:color w:val="auto"/>
                <w:sz w:val="22"/>
                <w:lang w:eastAsia="en-GB"/>
              </w:rPr>
              <w:tab/>
            </w:r>
            <w:r w:rsidR="001C0BBD" w:rsidRPr="000F3C36">
              <w:rPr>
                <w:rStyle w:val="Hyperlink"/>
                <w:noProof/>
              </w:rPr>
              <w:t>Background</w:t>
            </w:r>
            <w:r w:rsidR="001C0BBD">
              <w:rPr>
                <w:noProof/>
                <w:webHidden/>
              </w:rPr>
              <w:tab/>
            </w:r>
            <w:r w:rsidR="001C0BBD">
              <w:rPr>
                <w:noProof/>
                <w:webHidden/>
              </w:rPr>
              <w:fldChar w:fldCharType="begin"/>
            </w:r>
            <w:r w:rsidR="001C0BBD">
              <w:rPr>
                <w:noProof/>
                <w:webHidden/>
              </w:rPr>
              <w:instrText xml:space="preserve"> PAGEREF _Toc117099306 \h </w:instrText>
            </w:r>
            <w:r w:rsidR="001C0BBD">
              <w:rPr>
                <w:noProof/>
                <w:webHidden/>
              </w:rPr>
            </w:r>
            <w:r w:rsidR="001C0BBD">
              <w:rPr>
                <w:noProof/>
                <w:webHidden/>
              </w:rPr>
              <w:fldChar w:fldCharType="separate"/>
            </w:r>
            <w:r w:rsidR="001C0BBD">
              <w:rPr>
                <w:noProof/>
                <w:webHidden/>
              </w:rPr>
              <w:t>4</w:t>
            </w:r>
            <w:r w:rsidR="001C0BBD">
              <w:rPr>
                <w:noProof/>
                <w:webHidden/>
              </w:rPr>
              <w:fldChar w:fldCharType="end"/>
            </w:r>
          </w:hyperlink>
        </w:p>
        <w:p w14:paraId="622867EC" w14:textId="461A9FB9" w:rsidR="001C0BBD" w:rsidRDefault="003C6A7B">
          <w:pPr>
            <w:pStyle w:val="TOC1"/>
            <w:rPr>
              <w:rFonts w:eastAsiaTheme="minorEastAsia"/>
              <w:noProof/>
              <w:color w:val="auto"/>
              <w:sz w:val="22"/>
              <w:lang w:eastAsia="en-GB"/>
            </w:rPr>
          </w:pPr>
          <w:hyperlink w:anchor="_Toc117099307" w:history="1">
            <w:r w:rsidR="001C0BBD" w:rsidRPr="000F3C36">
              <w:rPr>
                <w:rStyle w:val="Hyperlink"/>
                <w:noProof/>
              </w:rPr>
              <w:t>2.</w:t>
            </w:r>
            <w:r w:rsidR="001C0BBD">
              <w:rPr>
                <w:rFonts w:eastAsiaTheme="minorEastAsia"/>
                <w:noProof/>
                <w:color w:val="auto"/>
                <w:sz w:val="22"/>
                <w:lang w:eastAsia="en-GB"/>
              </w:rPr>
              <w:tab/>
            </w:r>
            <w:r w:rsidR="001C0BBD" w:rsidRPr="000F3C36">
              <w:rPr>
                <w:rStyle w:val="Hyperlink"/>
                <w:noProof/>
              </w:rPr>
              <w:t>Requirement for Approval to Fill Faculty Posts.</w:t>
            </w:r>
            <w:r w:rsidR="001C0BBD">
              <w:rPr>
                <w:noProof/>
                <w:webHidden/>
              </w:rPr>
              <w:tab/>
            </w:r>
            <w:r w:rsidR="001C0BBD">
              <w:rPr>
                <w:noProof/>
                <w:webHidden/>
              </w:rPr>
              <w:fldChar w:fldCharType="begin"/>
            </w:r>
            <w:r w:rsidR="001C0BBD">
              <w:rPr>
                <w:noProof/>
                <w:webHidden/>
              </w:rPr>
              <w:instrText xml:space="preserve"> PAGEREF _Toc117099307 \h </w:instrText>
            </w:r>
            <w:r w:rsidR="001C0BBD">
              <w:rPr>
                <w:noProof/>
                <w:webHidden/>
              </w:rPr>
            </w:r>
            <w:r w:rsidR="001C0BBD">
              <w:rPr>
                <w:noProof/>
                <w:webHidden/>
              </w:rPr>
              <w:fldChar w:fldCharType="separate"/>
            </w:r>
            <w:r w:rsidR="001C0BBD">
              <w:rPr>
                <w:noProof/>
                <w:webHidden/>
              </w:rPr>
              <w:t>4</w:t>
            </w:r>
            <w:r w:rsidR="001C0BBD">
              <w:rPr>
                <w:noProof/>
                <w:webHidden/>
              </w:rPr>
              <w:fldChar w:fldCharType="end"/>
            </w:r>
          </w:hyperlink>
        </w:p>
        <w:p w14:paraId="4327B023" w14:textId="40B6BEFC" w:rsidR="001C0BBD" w:rsidRDefault="003C6A7B">
          <w:pPr>
            <w:pStyle w:val="TOC1"/>
            <w:rPr>
              <w:rFonts w:eastAsiaTheme="minorEastAsia"/>
              <w:noProof/>
              <w:color w:val="auto"/>
              <w:sz w:val="22"/>
              <w:lang w:eastAsia="en-GB"/>
            </w:rPr>
          </w:pPr>
          <w:hyperlink w:anchor="_Toc117099308" w:history="1">
            <w:r w:rsidR="001C0BBD" w:rsidRPr="000F3C36">
              <w:rPr>
                <w:rStyle w:val="Hyperlink"/>
                <w:rFonts w:ascii="Arial" w:hAnsi="Arial" w:cs="Arial"/>
                <w:noProof/>
              </w:rPr>
              <w:t>3.</w:t>
            </w:r>
            <w:r w:rsidR="001C0BBD">
              <w:rPr>
                <w:rFonts w:eastAsiaTheme="minorEastAsia"/>
                <w:noProof/>
                <w:color w:val="auto"/>
                <w:sz w:val="22"/>
                <w:lang w:eastAsia="en-GB"/>
              </w:rPr>
              <w:tab/>
            </w:r>
            <w:r w:rsidR="001C0BBD" w:rsidRPr="000F3C36">
              <w:rPr>
                <w:rStyle w:val="Hyperlink"/>
                <w:rFonts w:ascii="Arial" w:hAnsi="Arial" w:cs="Arial"/>
                <w:noProof/>
              </w:rPr>
              <w:t>Process for Filling of Faculty Posts</w:t>
            </w:r>
            <w:r w:rsidR="001C0BBD">
              <w:rPr>
                <w:noProof/>
                <w:webHidden/>
              </w:rPr>
              <w:tab/>
            </w:r>
            <w:r w:rsidR="001C0BBD">
              <w:rPr>
                <w:noProof/>
                <w:webHidden/>
              </w:rPr>
              <w:fldChar w:fldCharType="begin"/>
            </w:r>
            <w:r w:rsidR="001C0BBD">
              <w:rPr>
                <w:noProof/>
                <w:webHidden/>
              </w:rPr>
              <w:instrText xml:space="preserve"> PAGEREF _Toc117099308 \h </w:instrText>
            </w:r>
            <w:r w:rsidR="001C0BBD">
              <w:rPr>
                <w:noProof/>
                <w:webHidden/>
              </w:rPr>
            </w:r>
            <w:r w:rsidR="001C0BBD">
              <w:rPr>
                <w:noProof/>
                <w:webHidden/>
              </w:rPr>
              <w:fldChar w:fldCharType="separate"/>
            </w:r>
            <w:r w:rsidR="001C0BBD">
              <w:rPr>
                <w:noProof/>
                <w:webHidden/>
              </w:rPr>
              <w:t>4</w:t>
            </w:r>
            <w:r w:rsidR="001C0BBD">
              <w:rPr>
                <w:noProof/>
                <w:webHidden/>
              </w:rPr>
              <w:fldChar w:fldCharType="end"/>
            </w:r>
          </w:hyperlink>
        </w:p>
        <w:p w14:paraId="649CFBAA" w14:textId="064F19E0" w:rsidR="001C0BBD" w:rsidRDefault="003C6A7B">
          <w:pPr>
            <w:pStyle w:val="TOC1"/>
            <w:rPr>
              <w:rFonts w:eastAsiaTheme="minorEastAsia"/>
              <w:noProof/>
              <w:color w:val="auto"/>
              <w:sz w:val="22"/>
              <w:lang w:eastAsia="en-GB"/>
            </w:rPr>
          </w:pPr>
          <w:hyperlink w:anchor="_Toc117099309" w:history="1">
            <w:r w:rsidR="001C0BBD" w:rsidRPr="000F3C36">
              <w:rPr>
                <w:rStyle w:val="Hyperlink"/>
                <w:rFonts w:ascii="Arial" w:hAnsi="Arial" w:cs="Arial"/>
                <w:noProof/>
              </w:rPr>
              <w:t>4.</w:t>
            </w:r>
            <w:r w:rsidR="001C0BBD">
              <w:rPr>
                <w:rFonts w:eastAsiaTheme="minorEastAsia"/>
                <w:noProof/>
                <w:color w:val="auto"/>
                <w:sz w:val="22"/>
                <w:lang w:eastAsia="en-GB"/>
              </w:rPr>
              <w:tab/>
            </w:r>
            <w:r w:rsidR="001C0BBD" w:rsidRPr="000F3C36">
              <w:rPr>
                <w:rStyle w:val="Hyperlink"/>
                <w:rFonts w:ascii="Arial" w:hAnsi="Arial" w:cs="Arial"/>
                <w:noProof/>
              </w:rPr>
              <w:t>Options for Affected Subject Principal Teachers</w:t>
            </w:r>
            <w:r w:rsidR="001C0BBD">
              <w:rPr>
                <w:noProof/>
                <w:webHidden/>
              </w:rPr>
              <w:tab/>
            </w:r>
            <w:r w:rsidR="001C0BBD">
              <w:rPr>
                <w:noProof/>
                <w:webHidden/>
              </w:rPr>
              <w:fldChar w:fldCharType="begin"/>
            </w:r>
            <w:r w:rsidR="001C0BBD">
              <w:rPr>
                <w:noProof/>
                <w:webHidden/>
              </w:rPr>
              <w:instrText xml:space="preserve"> PAGEREF _Toc117099309 \h </w:instrText>
            </w:r>
            <w:r w:rsidR="001C0BBD">
              <w:rPr>
                <w:noProof/>
                <w:webHidden/>
              </w:rPr>
            </w:r>
            <w:r w:rsidR="001C0BBD">
              <w:rPr>
                <w:noProof/>
                <w:webHidden/>
              </w:rPr>
              <w:fldChar w:fldCharType="separate"/>
            </w:r>
            <w:r w:rsidR="001C0BBD">
              <w:rPr>
                <w:noProof/>
                <w:webHidden/>
              </w:rPr>
              <w:t>5</w:t>
            </w:r>
            <w:r w:rsidR="001C0BBD">
              <w:rPr>
                <w:noProof/>
                <w:webHidden/>
              </w:rPr>
              <w:fldChar w:fldCharType="end"/>
            </w:r>
          </w:hyperlink>
        </w:p>
        <w:p w14:paraId="71BB4509" w14:textId="756F9780" w:rsidR="009410F0" w:rsidRDefault="009410F0" w:rsidP="009410F0">
          <w:pPr>
            <w:rPr>
              <w:b/>
              <w:bCs/>
              <w:noProof/>
            </w:rPr>
          </w:pPr>
          <w:r>
            <w:fldChar w:fldCharType="end"/>
          </w:r>
        </w:p>
      </w:sdtContent>
    </w:sdt>
    <w:p w14:paraId="3854647A" w14:textId="77777777" w:rsidR="00B06CC6" w:rsidRDefault="00B06CC6"/>
    <w:p w14:paraId="189F800D" w14:textId="77777777" w:rsidR="00B06CC6" w:rsidRDefault="00B06CC6"/>
    <w:p w14:paraId="3A00437F" w14:textId="77777777" w:rsidR="00B06CC6" w:rsidRDefault="00B06CC6"/>
    <w:p w14:paraId="372A31A2" w14:textId="77777777" w:rsidR="00C03674" w:rsidRDefault="00C03674"/>
    <w:p w14:paraId="68BEED2A" w14:textId="77777777" w:rsidR="00C03674" w:rsidRDefault="00C03674"/>
    <w:p w14:paraId="7F9D51E0" w14:textId="77777777" w:rsidR="00C03674" w:rsidRDefault="00C03674"/>
    <w:p w14:paraId="515AF49C" w14:textId="77777777" w:rsidR="00C03674" w:rsidRDefault="00C03674"/>
    <w:p w14:paraId="2966F6CA" w14:textId="77777777" w:rsidR="00C03674" w:rsidRDefault="00C03674"/>
    <w:p w14:paraId="6E166F5C" w14:textId="77777777" w:rsidR="00C03674" w:rsidRDefault="00C03674"/>
    <w:p w14:paraId="6DBAFD4D" w14:textId="77777777" w:rsidR="00C03674" w:rsidRDefault="00C03674"/>
    <w:p w14:paraId="39946DEE" w14:textId="77777777" w:rsidR="00C03674" w:rsidRDefault="00C03674"/>
    <w:p w14:paraId="0E4A2027" w14:textId="77777777" w:rsidR="00C03674" w:rsidRDefault="00C03674"/>
    <w:p w14:paraId="4CC01FBB" w14:textId="77777777" w:rsidR="00C03674" w:rsidRDefault="00C03674"/>
    <w:p w14:paraId="018E1F2E" w14:textId="77777777" w:rsidR="00C03674" w:rsidRDefault="00C03674"/>
    <w:p w14:paraId="444EDDCF" w14:textId="77777777" w:rsidR="00C03674" w:rsidRDefault="00C03674"/>
    <w:p w14:paraId="20A02D96" w14:textId="77777777" w:rsidR="00C03674" w:rsidRDefault="00C03674"/>
    <w:p w14:paraId="3C019B33" w14:textId="77777777" w:rsidR="00C03674" w:rsidRDefault="00C03674"/>
    <w:p w14:paraId="24ABC6D9" w14:textId="77777777" w:rsidR="00C03674" w:rsidRDefault="00C03674"/>
    <w:p w14:paraId="6CF84C12" w14:textId="77777777" w:rsidR="00C03674" w:rsidRDefault="00C03674"/>
    <w:p w14:paraId="0C8B3532" w14:textId="77777777" w:rsidR="00C03674" w:rsidRDefault="00C03674"/>
    <w:p w14:paraId="53846CF2" w14:textId="77777777" w:rsidR="00C03674" w:rsidRDefault="00C03674"/>
    <w:p w14:paraId="1A545915" w14:textId="77777777" w:rsidR="00C03674" w:rsidRDefault="00C03674"/>
    <w:p w14:paraId="30EA33F3" w14:textId="77777777" w:rsidR="00C03674" w:rsidRDefault="00C03674"/>
    <w:p w14:paraId="23D7C965" w14:textId="77777777" w:rsidR="00C03674" w:rsidRDefault="00C03674"/>
    <w:p w14:paraId="2855F28C" w14:textId="77777777" w:rsidR="00C03674" w:rsidRDefault="00C03674"/>
    <w:p w14:paraId="0446A9F2" w14:textId="77777777" w:rsidR="00C03674" w:rsidRDefault="00C03674"/>
    <w:p w14:paraId="25F26E86" w14:textId="77777777" w:rsidR="00C03674" w:rsidRDefault="00C03674"/>
    <w:p w14:paraId="6086DAB4" w14:textId="69ADF040" w:rsidR="00C03674" w:rsidRDefault="00C03674"/>
    <w:p w14:paraId="50E6B9BD" w14:textId="2F906BC3" w:rsidR="001C0BBD" w:rsidRDefault="001C0BBD"/>
    <w:p w14:paraId="5282DBF3" w14:textId="013CD764" w:rsidR="001C0BBD" w:rsidRDefault="001C0BBD"/>
    <w:p w14:paraId="161FD034" w14:textId="77777777" w:rsidR="001C0BBD" w:rsidRDefault="001C0BBD"/>
    <w:p w14:paraId="308104EE" w14:textId="77777777" w:rsidR="00907A5E" w:rsidRDefault="00907A5E"/>
    <w:p w14:paraId="69F8A0C1" w14:textId="77777777" w:rsidR="001C0BBD" w:rsidRPr="001C0BBD" w:rsidRDefault="001C0BBD" w:rsidP="001C0BBD">
      <w:pPr>
        <w:pStyle w:val="Heading1"/>
        <w:ind w:left="709" w:hanging="709"/>
        <w:rPr>
          <w:sz w:val="22"/>
        </w:rPr>
      </w:pPr>
      <w:bookmarkStart w:id="2" w:name="_Toc117099306"/>
      <w:r w:rsidRPr="001C0BBD">
        <w:rPr>
          <w:sz w:val="22"/>
        </w:rPr>
        <w:t>Background</w:t>
      </w:r>
      <w:bookmarkEnd w:id="2"/>
    </w:p>
    <w:p w14:paraId="023C032E" w14:textId="77777777" w:rsidR="001C0BBD" w:rsidRPr="00180CB9" w:rsidRDefault="001C0BBD" w:rsidP="001C0BBD">
      <w:pPr>
        <w:jc w:val="both"/>
        <w:rPr>
          <w:rFonts w:ascii="Arial" w:hAnsi="Arial" w:cs="Arial"/>
          <w:sz w:val="22"/>
        </w:rPr>
      </w:pPr>
    </w:p>
    <w:p w14:paraId="5352A0E0" w14:textId="77777777" w:rsidR="001C0BBD" w:rsidRPr="00180CB9" w:rsidRDefault="001C0BBD" w:rsidP="001C0BBD">
      <w:pPr>
        <w:numPr>
          <w:ilvl w:val="0"/>
          <w:numId w:val="6"/>
        </w:numPr>
        <w:spacing w:after="0" w:line="240" w:lineRule="auto"/>
        <w:jc w:val="both"/>
        <w:rPr>
          <w:rFonts w:ascii="Arial" w:hAnsi="Arial" w:cs="Arial"/>
          <w:sz w:val="22"/>
        </w:rPr>
      </w:pPr>
      <w:r w:rsidRPr="00180CB9">
        <w:rPr>
          <w:rFonts w:ascii="Arial" w:hAnsi="Arial" w:cs="Arial"/>
          <w:sz w:val="22"/>
        </w:rPr>
        <w:t>The 21</w:t>
      </w:r>
      <w:r w:rsidRPr="00180CB9">
        <w:rPr>
          <w:rFonts w:ascii="Arial" w:hAnsi="Arial" w:cs="Arial"/>
          <w:sz w:val="22"/>
          <w:vertAlign w:val="superscript"/>
        </w:rPr>
        <w:t>st</w:t>
      </w:r>
      <w:r w:rsidRPr="00180CB9">
        <w:rPr>
          <w:rFonts w:ascii="Arial" w:hAnsi="Arial" w:cs="Arial"/>
          <w:sz w:val="22"/>
        </w:rPr>
        <w:t xml:space="preserve"> century Agreement introduced flatter promoted post structures with the removal of a number of promoted posts.</w:t>
      </w:r>
      <w:r>
        <w:rPr>
          <w:rFonts w:ascii="Arial" w:hAnsi="Arial" w:cs="Arial"/>
          <w:sz w:val="22"/>
        </w:rPr>
        <w:t xml:space="preserve"> </w:t>
      </w:r>
      <w:r w:rsidRPr="00180CB9">
        <w:rPr>
          <w:rFonts w:ascii="Arial" w:hAnsi="Arial" w:cs="Arial"/>
          <w:sz w:val="22"/>
        </w:rPr>
        <w:t xml:space="preserve"> Some schools believe that the management of combined subjects makes posts more attractive to potential applicant</w:t>
      </w:r>
      <w:r>
        <w:rPr>
          <w:rFonts w:ascii="Arial" w:hAnsi="Arial" w:cs="Arial"/>
          <w:sz w:val="22"/>
        </w:rPr>
        <w:t>s. T</w:t>
      </w:r>
      <w:r w:rsidRPr="00180CB9">
        <w:rPr>
          <w:rFonts w:ascii="Arial" w:hAnsi="Arial" w:cs="Arial"/>
          <w:sz w:val="22"/>
        </w:rPr>
        <w:t xml:space="preserve">here are advantages in delivering curricular aspects across departments therefore </w:t>
      </w:r>
      <w:r>
        <w:rPr>
          <w:rFonts w:ascii="Arial" w:hAnsi="Arial" w:cs="Arial"/>
          <w:sz w:val="22"/>
        </w:rPr>
        <w:t>some</w:t>
      </w:r>
      <w:r w:rsidRPr="00180CB9">
        <w:rPr>
          <w:rFonts w:ascii="Arial" w:hAnsi="Arial" w:cs="Arial"/>
          <w:sz w:val="22"/>
        </w:rPr>
        <w:t xml:space="preserve"> schools have chosen to create Faculty Principal Teacher posts.    </w:t>
      </w:r>
    </w:p>
    <w:p w14:paraId="23F28ED1" w14:textId="77777777" w:rsidR="001C0BBD" w:rsidRPr="00180CB9" w:rsidRDefault="001C0BBD" w:rsidP="001C0BBD">
      <w:pPr>
        <w:jc w:val="both"/>
        <w:rPr>
          <w:rFonts w:ascii="Arial" w:hAnsi="Arial" w:cs="Arial"/>
          <w:sz w:val="22"/>
        </w:rPr>
      </w:pPr>
    </w:p>
    <w:p w14:paraId="2B5D9F73" w14:textId="77777777" w:rsidR="001C0BBD" w:rsidRPr="00180CB9" w:rsidRDefault="001C0BBD" w:rsidP="001C0BBD">
      <w:pPr>
        <w:numPr>
          <w:ilvl w:val="0"/>
          <w:numId w:val="6"/>
        </w:numPr>
        <w:spacing w:after="0" w:line="240" w:lineRule="auto"/>
        <w:jc w:val="both"/>
        <w:rPr>
          <w:rFonts w:ascii="Arial" w:hAnsi="Arial" w:cs="Arial"/>
          <w:sz w:val="22"/>
        </w:rPr>
      </w:pPr>
      <w:r w:rsidRPr="00180CB9">
        <w:rPr>
          <w:rFonts w:ascii="Arial" w:hAnsi="Arial" w:cs="Arial"/>
          <w:sz w:val="22"/>
        </w:rPr>
        <w:t>The purpose of this paper is to outline when and how such posts can be filled and should be read in conjunction with JNCT</w:t>
      </w:r>
      <w:r>
        <w:rPr>
          <w:rFonts w:ascii="Arial" w:hAnsi="Arial" w:cs="Arial"/>
          <w:sz w:val="22"/>
        </w:rPr>
        <w:t>2.5</w:t>
      </w:r>
      <w:r w:rsidRPr="00180CB9">
        <w:rPr>
          <w:rFonts w:ascii="Arial" w:hAnsi="Arial" w:cs="Arial"/>
          <w:sz w:val="22"/>
        </w:rPr>
        <w:t xml:space="preserve"> Secondary Promoted Post Structur</w:t>
      </w:r>
      <w:r>
        <w:rPr>
          <w:rFonts w:ascii="Arial" w:hAnsi="Arial" w:cs="Arial"/>
          <w:sz w:val="22"/>
        </w:rPr>
        <w:t>es and in some cases with JNCT2.2a</w:t>
      </w:r>
      <w:r w:rsidRPr="00180CB9">
        <w:rPr>
          <w:rFonts w:ascii="Arial" w:hAnsi="Arial" w:cs="Arial"/>
          <w:sz w:val="22"/>
        </w:rPr>
        <w:t xml:space="preserve"> Agreed Procedures for the Compulsory Transfer of Promoted Staff.</w:t>
      </w:r>
    </w:p>
    <w:p w14:paraId="41BAC91B" w14:textId="77777777" w:rsidR="001C0BBD" w:rsidRPr="00180CB9" w:rsidRDefault="001C0BBD" w:rsidP="001C0BBD">
      <w:pPr>
        <w:jc w:val="both"/>
        <w:rPr>
          <w:rFonts w:ascii="Arial" w:hAnsi="Arial" w:cs="Arial"/>
          <w:sz w:val="22"/>
        </w:rPr>
      </w:pPr>
    </w:p>
    <w:p w14:paraId="35C1F1D7" w14:textId="16E4530B" w:rsidR="001C0BBD" w:rsidRPr="00180CB9" w:rsidRDefault="001C0BBD" w:rsidP="001C0BBD">
      <w:pPr>
        <w:pStyle w:val="Heading1"/>
        <w:ind w:left="709"/>
      </w:pPr>
      <w:bookmarkStart w:id="3" w:name="_Toc117099307"/>
      <w:r w:rsidRPr="001C0BBD">
        <w:rPr>
          <w:sz w:val="22"/>
        </w:rPr>
        <w:t>Requirement for Approval to Fill Faculty Posts</w:t>
      </w:r>
      <w:r>
        <w:t>.</w:t>
      </w:r>
      <w:bookmarkEnd w:id="3"/>
    </w:p>
    <w:p w14:paraId="6C67A78F" w14:textId="77777777" w:rsidR="001C0BBD" w:rsidRPr="00180CB9" w:rsidRDefault="001C0BBD" w:rsidP="001C0BBD">
      <w:pPr>
        <w:jc w:val="both"/>
        <w:rPr>
          <w:rFonts w:ascii="Arial" w:hAnsi="Arial" w:cs="Arial"/>
          <w:sz w:val="22"/>
        </w:rPr>
      </w:pPr>
    </w:p>
    <w:p w14:paraId="5F940CB6" w14:textId="77777777" w:rsidR="001C0BBD" w:rsidRPr="00180CB9" w:rsidRDefault="001C0BBD" w:rsidP="001C0BBD">
      <w:pPr>
        <w:numPr>
          <w:ilvl w:val="0"/>
          <w:numId w:val="7"/>
        </w:numPr>
        <w:spacing w:after="0" w:line="240" w:lineRule="auto"/>
        <w:jc w:val="both"/>
        <w:rPr>
          <w:rFonts w:ascii="Arial" w:hAnsi="Arial" w:cs="Arial"/>
          <w:sz w:val="22"/>
        </w:rPr>
      </w:pPr>
      <w:r w:rsidRPr="00180CB9">
        <w:rPr>
          <w:rFonts w:ascii="Arial" w:hAnsi="Arial" w:cs="Arial"/>
          <w:sz w:val="22"/>
        </w:rPr>
        <w:t xml:space="preserve">All proposals to move to a faculty structure should normally be cost neutral and will require to be approved at Authority level by the </w:t>
      </w:r>
      <w:r>
        <w:rPr>
          <w:rFonts w:ascii="Arial" w:hAnsi="Arial" w:cs="Arial"/>
          <w:sz w:val="22"/>
        </w:rPr>
        <w:t>relevant Quality Improvement Manager.</w:t>
      </w:r>
    </w:p>
    <w:p w14:paraId="4DB89462" w14:textId="77777777" w:rsidR="001C0BBD" w:rsidRPr="00180CB9" w:rsidRDefault="001C0BBD" w:rsidP="001C0BBD">
      <w:pPr>
        <w:jc w:val="both"/>
        <w:rPr>
          <w:rFonts w:ascii="Arial" w:hAnsi="Arial" w:cs="Arial"/>
          <w:sz w:val="22"/>
        </w:rPr>
      </w:pPr>
    </w:p>
    <w:p w14:paraId="3D214D84" w14:textId="77777777" w:rsidR="001C0BBD" w:rsidRPr="00180CB9" w:rsidRDefault="001C0BBD" w:rsidP="001C0BBD">
      <w:pPr>
        <w:numPr>
          <w:ilvl w:val="0"/>
          <w:numId w:val="7"/>
        </w:numPr>
        <w:spacing w:after="0" w:line="240" w:lineRule="auto"/>
        <w:jc w:val="both"/>
        <w:rPr>
          <w:rFonts w:ascii="Arial" w:hAnsi="Arial" w:cs="Arial"/>
          <w:sz w:val="22"/>
        </w:rPr>
      </w:pPr>
      <w:r w:rsidRPr="00180CB9">
        <w:rPr>
          <w:rFonts w:ascii="Arial" w:hAnsi="Arial" w:cs="Arial"/>
          <w:sz w:val="22"/>
        </w:rPr>
        <w:t>In circumstances where a secondary school wishes to change to a management structure involving the introduction of a faculty or faculties incorporating two or more former secondary departments, the head teacher will require to secure formal, collegiate agreement with teaching staff on the proposed structural changes.</w:t>
      </w:r>
    </w:p>
    <w:p w14:paraId="41A79998" w14:textId="77777777" w:rsidR="001C0BBD" w:rsidRPr="00180CB9" w:rsidRDefault="001C0BBD" w:rsidP="001C0BBD">
      <w:pPr>
        <w:jc w:val="both"/>
        <w:rPr>
          <w:rFonts w:ascii="Arial" w:hAnsi="Arial" w:cs="Arial"/>
          <w:sz w:val="22"/>
        </w:rPr>
      </w:pPr>
    </w:p>
    <w:p w14:paraId="55BC317C" w14:textId="77777777" w:rsidR="001C0BBD" w:rsidRPr="00180CB9" w:rsidRDefault="001C0BBD" w:rsidP="001C0BBD">
      <w:pPr>
        <w:numPr>
          <w:ilvl w:val="0"/>
          <w:numId w:val="7"/>
        </w:numPr>
        <w:spacing w:after="0" w:line="240" w:lineRule="auto"/>
        <w:jc w:val="both"/>
        <w:rPr>
          <w:rFonts w:ascii="Arial" w:hAnsi="Arial" w:cs="Arial"/>
          <w:sz w:val="22"/>
        </w:rPr>
      </w:pPr>
      <w:r w:rsidRPr="00180CB9">
        <w:rPr>
          <w:rFonts w:ascii="Arial" w:hAnsi="Arial" w:cs="Arial"/>
          <w:sz w:val="22"/>
        </w:rPr>
        <w:t xml:space="preserve">Schools who wish to revise their management structure must firstly ensure that they have the staffing entitlement and promoted post points to be able to do so. In normal circumstances head teachers will be unable to change management structures until suitable vacancies become available within the relevant subject departments.   </w:t>
      </w:r>
      <w:r>
        <w:rPr>
          <w:rFonts w:ascii="Arial" w:hAnsi="Arial" w:cs="Arial"/>
          <w:sz w:val="22"/>
        </w:rPr>
        <w:t>T</w:t>
      </w:r>
      <w:r w:rsidRPr="00180CB9">
        <w:rPr>
          <w:rFonts w:ascii="Arial" w:hAnsi="Arial" w:cs="Arial"/>
          <w:sz w:val="22"/>
        </w:rPr>
        <w:t xml:space="preserve">he school will still have the option of progressing provided they identify a sustainable source of funding from within the school.  </w:t>
      </w:r>
    </w:p>
    <w:p w14:paraId="2FC35703" w14:textId="77777777" w:rsidR="001C0BBD" w:rsidRDefault="001C0BBD" w:rsidP="001C0BBD">
      <w:pPr>
        <w:jc w:val="both"/>
        <w:rPr>
          <w:rFonts w:ascii="Arial" w:hAnsi="Arial" w:cs="Arial"/>
          <w:sz w:val="22"/>
        </w:rPr>
      </w:pPr>
    </w:p>
    <w:p w14:paraId="73EDD651" w14:textId="77777777" w:rsidR="001C0BBD" w:rsidRPr="00180CB9" w:rsidRDefault="001C0BBD" w:rsidP="001C0BBD">
      <w:pPr>
        <w:jc w:val="both"/>
        <w:rPr>
          <w:rFonts w:ascii="Arial" w:hAnsi="Arial" w:cs="Arial"/>
          <w:sz w:val="22"/>
        </w:rPr>
      </w:pPr>
    </w:p>
    <w:p w14:paraId="0643E587" w14:textId="77777777" w:rsidR="001C0BBD" w:rsidRPr="00180CB9" w:rsidRDefault="001C0BBD" w:rsidP="001C0BBD">
      <w:pPr>
        <w:pStyle w:val="Heading1"/>
        <w:ind w:left="709"/>
        <w:rPr>
          <w:rFonts w:ascii="Arial" w:hAnsi="Arial" w:cs="Arial"/>
          <w:sz w:val="22"/>
          <w:u w:val="single"/>
        </w:rPr>
      </w:pPr>
      <w:bookmarkStart w:id="4" w:name="_Toc117099308"/>
      <w:r w:rsidRPr="00180CB9">
        <w:rPr>
          <w:rFonts w:ascii="Arial" w:hAnsi="Arial" w:cs="Arial"/>
          <w:sz w:val="22"/>
          <w:u w:val="single"/>
        </w:rPr>
        <w:t>Process for Filling of Faculty Posts</w:t>
      </w:r>
      <w:bookmarkEnd w:id="4"/>
    </w:p>
    <w:p w14:paraId="75C92882" w14:textId="77777777" w:rsidR="001C0BBD" w:rsidRPr="00180CB9" w:rsidRDefault="001C0BBD" w:rsidP="001C0BBD">
      <w:pPr>
        <w:jc w:val="both"/>
        <w:rPr>
          <w:rFonts w:ascii="Arial" w:hAnsi="Arial" w:cs="Arial"/>
          <w:sz w:val="22"/>
        </w:rPr>
      </w:pPr>
    </w:p>
    <w:p w14:paraId="4123F378" w14:textId="77777777" w:rsidR="001C0BBD" w:rsidRPr="00180CB9" w:rsidRDefault="001C0BBD" w:rsidP="001C0BBD">
      <w:pPr>
        <w:numPr>
          <w:ilvl w:val="0"/>
          <w:numId w:val="8"/>
        </w:numPr>
        <w:spacing w:after="0" w:line="240" w:lineRule="auto"/>
        <w:jc w:val="both"/>
        <w:rPr>
          <w:rFonts w:ascii="Arial" w:hAnsi="Arial" w:cs="Arial"/>
          <w:sz w:val="22"/>
        </w:rPr>
      </w:pPr>
      <w:r w:rsidRPr="00180CB9">
        <w:rPr>
          <w:rFonts w:ascii="Arial" w:hAnsi="Arial" w:cs="Arial"/>
          <w:sz w:val="22"/>
        </w:rPr>
        <w:t>Employees with substantive permanent Principal Teacher contracts and Unpromoted Teachers who are currently acting into a post within departments in the school directly affected by a move to a faculty, will be offered an opportunity to apply for the new faculty head post.  The appointment will be made through the agreed interview procedures outlined in JNCT</w:t>
      </w:r>
      <w:r>
        <w:rPr>
          <w:rFonts w:ascii="Arial" w:hAnsi="Arial" w:cs="Arial"/>
          <w:sz w:val="22"/>
        </w:rPr>
        <w:t>13a,b</w:t>
      </w:r>
      <w:r w:rsidRPr="00180CB9">
        <w:rPr>
          <w:rFonts w:ascii="Arial" w:hAnsi="Arial" w:cs="Arial"/>
          <w:sz w:val="22"/>
        </w:rPr>
        <w:t>.</w:t>
      </w:r>
    </w:p>
    <w:p w14:paraId="1B402055" w14:textId="77777777" w:rsidR="001C0BBD" w:rsidRPr="00180CB9" w:rsidRDefault="001C0BBD" w:rsidP="001C0BBD">
      <w:pPr>
        <w:jc w:val="both"/>
        <w:rPr>
          <w:rFonts w:ascii="Arial" w:hAnsi="Arial" w:cs="Arial"/>
          <w:sz w:val="22"/>
        </w:rPr>
      </w:pPr>
    </w:p>
    <w:p w14:paraId="06251946" w14:textId="77777777" w:rsidR="001C0BBD" w:rsidRPr="00180CB9" w:rsidRDefault="001C0BBD" w:rsidP="001C0BBD">
      <w:pPr>
        <w:numPr>
          <w:ilvl w:val="0"/>
          <w:numId w:val="8"/>
        </w:numPr>
        <w:spacing w:after="0" w:line="240" w:lineRule="auto"/>
        <w:jc w:val="both"/>
        <w:rPr>
          <w:rFonts w:ascii="Arial" w:hAnsi="Arial" w:cs="Arial"/>
          <w:sz w:val="22"/>
        </w:rPr>
      </w:pPr>
      <w:r w:rsidRPr="00180CB9">
        <w:rPr>
          <w:rFonts w:ascii="Arial" w:hAnsi="Arial" w:cs="Arial"/>
          <w:sz w:val="22"/>
        </w:rPr>
        <w:t xml:space="preserve">If no appointment is made within the affected departments the head teacher is required to liaise with </w:t>
      </w:r>
      <w:r>
        <w:rPr>
          <w:rFonts w:ascii="Arial" w:hAnsi="Arial" w:cs="Arial"/>
          <w:sz w:val="22"/>
        </w:rPr>
        <w:t>the Education Staffing</w:t>
      </w:r>
      <w:r w:rsidRPr="00180CB9">
        <w:rPr>
          <w:rFonts w:ascii="Arial" w:hAnsi="Arial" w:cs="Arial"/>
          <w:sz w:val="22"/>
        </w:rPr>
        <w:t xml:space="preserve"> Team to ensure that any subsequent external appointment does not create a surplus within the school.   If this is likely to be the case then the appointment may require to be delayed until a suitable vacancy occurs unless this post is deemed to be essential and funding can be provided by either school or Authority</w:t>
      </w:r>
      <w:r>
        <w:rPr>
          <w:rFonts w:ascii="Arial" w:hAnsi="Arial" w:cs="Arial"/>
          <w:sz w:val="22"/>
        </w:rPr>
        <w:t>.</w:t>
      </w:r>
    </w:p>
    <w:p w14:paraId="58475557" w14:textId="77777777" w:rsidR="001C0BBD" w:rsidRPr="00180CB9" w:rsidRDefault="001C0BBD" w:rsidP="001C0BBD">
      <w:pPr>
        <w:jc w:val="both"/>
        <w:rPr>
          <w:rFonts w:ascii="Arial" w:hAnsi="Arial" w:cs="Arial"/>
          <w:sz w:val="22"/>
        </w:rPr>
      </w:pPr>
    </w:p>
    <w:p w14:paraId="43A1CC50" w14:textId="77777777" w:rsidR="001C0BBD" w:rsidRPr="00180CB9" w:rsidRDefault="001C0BBD" w:rsidP="001C0BBD">
      <w:pPr>
        <w:numPr>
          <w:ilvl w:val="0"/>
          <w:numId w:val="8"/>
        </w:numPr>
        <w:spacing w:after="0" w:line="240" w:lineRule="auto"/>
        <w:jc w:val="both"/>
        <w:rPr>
          <w:rFonts w:ascii="Arial" w:hAnsi="Arial" w:cs="Arial"/>
          <w:sz w:val="22"/>
        </w:rPr>
      </w:pPr>
      <w:r w:rsidRPr="00180CB9">
        <w:rPr>
          <w:rFonts w:ascii="Arial" w:hAnsi="Arial" w:cs="Arial"/>
          <w:sz w:val="22"/>
        </w:rPr>
        <w:t>Where it is agreed that the post can proceed to be filled, the vacancy will be ring-fenced to all suitably qualified staff within South Ayrshire Council Secondary Schools.</w:t>
      </w:r>
    </w:p>
    <w:p w14:paraId="3127ED82" w14:textId="77777777" w:rsidR="001C0BBD" w:rsidRPr="00180CB9" w:rsidRDefault="001C0BBD" w:rsidP="001C0BBD">
      <w:pPr>
        <w:jc w:val="both"/>
        <w:rPr>
          <w:rFonts w:ascii="Arial" w:hAnsi="Arial" w:cs="Arial"/>
          <w:sz w:val="22"/>
        </w:rPr>
      </w:pPr>
    </w:p>
    <w:p w14:paraId="63CF62E6" w14:textId="77777777" w:rsidR="001C0BBD" w:rsidRPr="00180CB9" w:rsidRDefault="001C0BBD" w:rsidP="001C0BBD">
      <w:pPr>
        <w:numPr>
          <w:ilvl w:val="0"/>
          <w:numId w:val="8"/>
        </w:numPr>
        <w:spacing w:after="0" w:line="240" w:lineRule="auto"/>
        <w:jc w:val="both"/>
        <w:rPr>
          <w:rFonts w:ascii="Arial" w:hAnsi="Arial" w:cs="Arial"/>
          <w:sz w:val="22"/>
        </w:rPr>
      </w:pPr>
      <w:r w:rsidRPr="00180CB9">
        <w:rPr>
          <w:rFonts w:ascii="Arial" w:hAnsi="Arial" w:cs="Arial"/>
          <w:sz w:val="22"/>
        </w:rPr>
        <w:t xml:space="preserve">Should the ring-fenced advert in Section </w:t>
      </w:r>
      <w:r>
        <w:rPr>
          <w:rFonts w:ascii="Arial" w:hAnsi="Arial" w:cs="Arial"/>
          <w:sz w:val="22"/>
        </w:rPr>
        <w:t>3</w:t>
      </w:r>
      <w:r w:rsidRPr="00180CB9">
        <w:rPr>
          <w:rFonts w:ascii="Arial" w:hAnsi="Arial" w:cs="Arial"/>
          <w:sz w:val="22"/>
        </w:rPr>
        <w:t>c above be unsuccessful, a national advertising and recruitment process will take place.</w:t>
      </w:r>
    </w:p>
    <w:p w14:paraId="2612071E" w14:textId="77777777" w:rsidR="001C0BBD" w:rsidRPr="00180CB9" w:rsidRDefault="001C0BBD" w:rsidP="001C0BBD">
      <w:pPr>
        <w:jc w:val="both"/>
        <w:rPr>
          <w:rFonts w:ascii="Arial" w:hAnsi="Arial" w:cs="Arial"/>
          <w:sz w:val="22"/>
        </w:rPr>
      </w:pPr>
    </w:p>
    <w:p w14:paraId="1CA7E384" w14:textId="77777777" w:rsidR="001C0BBD" w:rsidRPr="00180CB9" w:rsidRDefault="001C0BBD" w:rsidP="001C0BBD">
      <w:pPr>
        <w:jc w:val="both"/>
        <w:rPr>
          <w:rFonts w:ascii="Arial" w:hAnsi="Arial" w:cs="Arial"/>
          <w:sz w:val="22"/>
        </w:rPr>
      </w:pPr>
    </w:p>
    <w:p w14:paraId="6FCFFBB8" w14:textId="77777777" w:rsidR="001C0BBD" w:rsidRPr="00180CB9" w:rsidRDefault="001C0BBD" w:rsidP="001C0BBD">
      <w:pPr>
        <w:pStyle w:val="Heading1"/>
        <w:ind w:left="709"/>
        <w:rPr>
          <w:rFonts w:ascii="Arial" w:hAnsi="Arial" w:cs="Arial"/>
          <w:sz w:val="22"/>
          <w:u w:val="single"/>
        </w:rPr>
      </w:pPr>
      <w:bookmarkStart w:id="5" w:name="_Toc117099309"/>
      <w:r w:rsidRPr="00180CB9">
        <w:rPr>
          <w:rFonts w:ascii="Arial" w:hAnsi="Arial" w:cs="Arial"/>
          <w:sz w:val="22"/>
          <w:u w:val="single"/>
        </w:rPr>
        <w:t>Options for Affected Subject Principal Teachers</w:t>
      </w:r>
      <w:bookmarkEnd w:id="5"/>
      <w:r w:rsidRPr="00180CB9">
        <w:rPr>
          <w:rFonts w:ascii="Arial" w:hAnsi="Arial" w:cs="Arial"/>
          <w:sz w:val="22"/>
          <w:u w:val="single"/>
        </w:rPr>
        <w:t xml:space="preserve"> </w:t>
      </w:r>
    </w:p>
    <w:p w14:paraId="18F8A799" w14:textId="77777777" w:rsidR="001C0BBD" w:rsidRPr="00180CB9" w:rsidRDefault="001C0BBD" w:rsidP="001C0BBD">
      <w:pPr>
        <w:jc w:val="both"/>
        <w:rPr>
          <w:rFonts w:ascii="Arial" w:hAnsi="Arial" w:cs="Arial"/>
          <w:sz w:val="22"/>
        </w:rPr>
      </w:pPr>
    </w:p>
    <w:p w14:paraId="164265D6" w14:textId="77777777" w:rsidR="001C0BBD" w:rsidRPr="00180CB9" w:rsidRDefault="001C0BBD" w:rsidP="001C0BBD">
      <w:pPr>
        <w:ind w:left="720"/>
        <w:jc w:val="both"/>
        <w:rPr>
          <w:rFonts w:ascii="Arial" w:hAnsi="Arial" w:cs="Arial"/>
          <w:sz w:val="22"/>
        </w:rPr>
      </w:pPr>
      <w:r w:rsidRPr="00180CB9">
        <w:rPr>
          <w:rFonts w:ascii="Arial" w:hAnsi="Arial" w:cs="Arial"/>
          <w:sz w:val="22"/>
        </w:rPr>
        <w:t>Where a Faculty Principal Teacher post is filled and one or more subject Principal teachers remain within that department they will be given three options:</w:t>
      </w:r>
    </w:p>
    <w:p w14:paraId="0C4980A3" w14:textId="77777777" w:rsidR="001C0BBD" w:rsidRPr="00180CB9" w:rsidRDefault="001C0BBD" w:rsidP="001C0BBD">
      <w:pPr>
        <w:jc w:val="both"/>
        <w:rPr>
          <w:rFonts w:ascii="Arial" w:hAnsi="Arial" w:cs="Arial"/>
          <w:sz w:val="22"/>
        </w:rPr>
      </w:pPr>
    </w:p>
    <w:p w14:paraId="7AD8A209" w14:textId="77777777" w:rsidR="001C0BBD" w:rsidRPr="00180CB9" w:rsidRDefault="001C0BBD" w:rsidP="001C0BBD">
      <w:pPr>
        <w:numPr>
          <w:ilvl w:val="0"/>
          <w:numId w:val="9"/>
        </w:numPr>
        <w:tabs>
          <w:tab w:val="clear" w:pos="720"/>
          <w:tab w:val="num" w:pos="1080"/>
        </w:tabs>
        <w:spacing w:after="0" w:line="240" w:lineRule="auto"/>
        <w:ind w:left="1080"/>
        <w:jc w:val="both"/>
        <w:rPr>
          <w:rFonts w:ascii="Arial" w:hAnsi="Arial" w:cs="Arial"/>
          <w:sz w:val="22"/>
        </w:rPr>
      </w:pPr>
      <w:r w:rsidRPr="00180CB9">
        <w:rPr>
          <w:rFonts w:ascii="Arial" w:hAnsi="Arial" w:cs="Arial"/>
          <w:sz w:val="22"/>
        </w:rPr>
        <w:t xml:space="preserve">Remain in Subject Principal Teacher post and carry out appropriate management responsibilities for their subject under the guidance of the PT Faculty. Such Principal Teachers will retain a Principal Teacher salary as they will be carrying out their duties in the normal manner.  The school will require to count that Principal Teacher’s full time equivalent hours when calculating their entitlement but will not require to count these promoted post points when calculating their promoted post structure.  </w:t>
      </w:r>
    </w:p>
    <w:p w14:paraId="63CD35A5" w14:textId="77777777" w:rsidR="001C0BBD" w:rsidRPr="00180CB9" w:rsidRDefault="001C0BBD" w:rsidP="001C0BBD">
      <w:pPr>
        <w:ind w:left="360"/>
        <w:jc w:val="both"/>
        <w:rPr>
          <w:rFonts w:ascii="Arial" w:hAnsi="Arial" w:cs="Arial"/>
          <w:sz w:val="22"/>
        </w:rPr>
      </w:pPr>
    </w:p>
    <w:p w14:paraId="528FD6E1" w14:textId="77777777" w:rsidR="001C0BBD" w:rsidRPr="00180CB9" w:rsidRDefault="001C0BBD" w:rsidP="001C0BBD">
      <w:pPr>
        <w:numPr>
          <w:ilvl w:val="0"/>
          <w:numId w:val="9"/>
        </w:numPr>
        <w:tabs>
          <w:tab w:val="clear" w:pos="720"/>
          <w:tab w:val="num" w:pos="1080"/>
        </w:tabs>
        <w:spacing w:after="0" w:line="240" w:lineRule="auto"/>
        <w:ind w:left="1080"/>
        <w:jc w:val="both"/>
        <w:rPr>
          <w:rFonts w:ascii="Arial" w:hAnsi="Arial" w:cs="Arial"/>
          <w:sz w:val="22"/>
        </w:rPr>
      </w:pPr>
      <w:r w:rsidRPr="00180CB9">
        <w:rPr>
          <w:rFonts w:ascii="Arial" w:hAnsi="Arial" w:cs="Arial"/>
          <w:sz w:val="22"/>
        </w:rPr>
        <w:t>Request a transfer to the first available Subject Principal Teacher post within the Authority for which they are qualified and continue for a maximum period of 2 academic years to act as a Principal Teacher as outlined in 4a above.  Guidance Principal Teacher posts will not be considered as suitable alternative employment.  Only one such offer will be made and should this be declined Section 4c below will apply.</w:t>
      </w:r>
    </w:p>
    <w:p w14:paraId="73334AB4" w14:textId="77777777" w:rsidR="001C0BBD" w:rsidRPr="00180CB9" w:rsidRDefault="001C0BBD" w:rsidP="001C0BBD">
      <w:pPr>
        <w:ind w:left="360"/>
        <w:jc w:val="both"/>
        <w:rPr>
          <w:rFonts w:ascii="Arial" w:hAnsi="Arial" w:cs="Arial"/>
          <w:sz w:val="22"/>
        </w:rPr>
      </w:pPr>
    </w:p>
    <w:p w14:paraId="11C5DAD9" w14:textId="77777777" w:rsidR="001C0BBD" w:rsidRPr="00180CB9" w:rsidRDefault="001C0BBD" w:rsidP="001C0BBD">
      <w:pPr>
        <w:numPr>
          <w:ilvl w:val="0"/>
          <w:numId w:val="9"/>
        </w:numPr>
        <w:tabs>
          <w:tab w:val="clear" w:pos="720"/>
          <w:tab w:val="num" w:pos="1080"/>
        </w:tabs>
        <w:spacing w:after="0" w:line="240" w:lineRule="auto"/>
        <w:ind w:left="1080"/>
        <w:jc w:val="both"/>
        <w:rPr>
          <w:rFonts w:ascii="Arial" w:hAnsi="Arial" w:cs="Arial"/>
          <w:sz w:val="22"/>
        </w:rPr>
      </w:pPr>
      <w:r w:rsidRPr="00180CB9">
        <w:rPr>
          <w:rFonts w:ascii="Arial" w:hAnsi="Arial" w:cs="Arial"/>
          <w:sz w:val="22"/>
        </w:rPr>
        <w:t xml:space="preserve">Revert to an unpromoted subject teacher either within the school or outwith if to remain would create a surplus in the unpromoted staff.  In this case the former Principal Teacher would be considered as surplus and not existing unpromoted staff within the department.  He/she would then be ranked along with subject teachers from other schools for eligibility for available posts.  Any Principal Teacher taking this option will retain conservation of salary in accordance with the SNCT </w:t>
      </w:r>
      <w:r>
        <w:rPr>
          <w:rFonts w:ascii="Arial" w:hAnsi="Arial" w:cs="Arial"/>
          <w:sz w:val="22"/>
        </w:rPr>
        <w:t xml:space="preserve">Handbook </w:t>
      </w:r>
      <w:r w:rsidRPr="00180CB9">
        <w:rPr>
          <w:rFonts w:ascii="Arial" w:hAnsi="Arial" w:cs="Arial"/>
          <w:sz w:val="22"/>
        </w:rPr>
        <w:t>effective from the date of appointment of the Faculty Principal Teacher.  Conserved Principal Teachers in this position will be entitled to a guaranteed interview within South Ayrshire for any Principal Teachers post in their subject for which they apply.</w:t>
      </w:r>
    </w:p>
    <w:p w14:paraId="6E696942" w14:textId="77777777" w:rsidR="001C0BBD" w:rsidRPr="00180CB9" w:rsidRDefault="001C0BBD" w:rsidP="001C0BBD">
      <w:pPr>
        <w:jc w:val="both"/>
        <w:rPr>
          <w:rFonts w:ascii="Arial" w:hAnsi="Arial" w:cs="Arial"/>
          <w:sz w:val="22"/>
        </w:rPr>
      </w:pPr>
    </w:p>
    <w:p w14:paraId="5CF7EC2E" w14:textId="77777777" w:rsidR="001C0BBD" w:rsidRPr="00180CB9" w:rsidRDefault="001C0BBD" w:rsidP="001C0BBD">
      <w:pPr>
        <w:ind w:left="720"/>
        <w:jc w:val="both"/>
        <w:rPr>
          <w:rFonts w:ascii="Arial" w:hAnsi="Arial" w:cs="Arial"/>
          <w:sz w:val="22"/>
        </w:rPr>
      </w:pPr>
      <w:r w:rsidRPr="00180CB9">
        <w:rPr>
          <w:rFonts w:ascii="Arial" w:hAnsi="Arial" w:cs="Arial"/>
          <w:sz w:val="22"/>
        </w:rPr>
        <w:t xml:space="preserve">For the period when the conserved salary is being paid for employees outlined in Section 4c above, the Authority reserve the right to allocate management duties appropriate to the circumstances of the conserved employee eg cover for absent promoted post holder or to carry out a specific task appropriate to conserved grade.  Any such duties will be allocated within the context of the 35 hour working week.  Individual discussions will take place with </w:t>
      </w:r>
      <w:r>
        <w:rPr>
          <w:rFonts w:ascii="Arial" w:hAnsi="Arial" w:cs="Arial"/>
          <w:sz w:val="22"/>
        </w:rPr>
        <w:t xml:space="preserve">the Head Teacher </w:t>
      </w:r>
      <w:r w:rsidRPr="00180CB9">
        <w:rPr>
          <w:rFonts w:ascii="Arial" w:hAnsi="Arial" w:cs="Arial"/>
          <w:sz w:val="22"/>
        </w:rPr>
        <w:t>and employee’s trade union representative to determine appropriate duties.</w:t>
      </w:r>
    </w:p>
    <w:p w14:paraId="2E2C8D6F" w14:textId="77777777" w:rsidR="001C0BBD" w:rsidRPr="00180CB9" w:rsidRDefault="001C0BBD" w:rsidP="001C0BBD">
      <w:pPr>
        <w:jc w:val="both"/>
        <w:rPr>
          <w:rFonts w:ascii="Arial" w:hAnsi="Arial" w:cs="Arial"/>
          <w:sz w:val="22"/>
        </w:rPr>
      </w:pPr>
      <w:r w:rsidRPr="00180CB9">
        <w:rPr>
          <w:rFonts w:ascii="Arial" w:hAnsi="Arial" w:cs="Arial"/>
          <w:sz w:val="22"/>
        </w:rPr>
        <w:t xml:space="preserve"> </w:t>
      </w:r>
    </w:p>
    <w:p w14:paraId="7E3AA44D" w14:textId="77777777" w:rsidR="001C0BBD" w:rsidRPr="0040045B" w:rsidRDefault="001C0BBD" w:rsidP="001C0BBD">
      <w:pPr>
        <w:rPr>
          <w:rFonts w:ascii="Arial" w:hAnsi="Arial" w:cs="Arial"/>
          <w:sz w:val="22"/>
        </w:rPr>
      </w:pPr>
    </w:p>
    <w:p w14:paraId="60A6FA9F" w14:textId="77777777" w:rsidR="00C03674" w:rsidRDefault="00C03674"/>
    <w:sectPr w:rsidR="00C03674" w:rsidSect="00907A5E">
      <w:headerReference w:type="even" r:id="rId12"/>
      <w:headerReference w:type="default" r:id="rId13"/>
      <w:footerReference w:type="even" r:id="rId14"/>
      <w:footerReference w:type="default" r:id="rId15"/>
      <w:headerReference w:type="first" r:id="rId16"/>
      <w:footerReference w:type="first" r:id="rId17"/>
      <w:pgSz w:w="11906" w:h="16838"/>
      <w:pgMar w:top="238" w:right="1140" w:bottom="249" w:left="11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7909" w14:textId="77777777" w:rsidR="00D62C36" w:rsidRDefault="00D62C36" w:rsidP="001277E4">
      <w:pPr>
        <w:spacing w:after="0" w:line="240" w:lineRule="auto"/>
      </w:pPr>
      <w:r>
        <w:separator/>
      </w:r>
    </w:p>
  </w:endnote>
  <w:endnote w:type="continuationSeparator" w:id="0">
    <w:p w14:paraId="1FE3AF61" w14:textId="77777777" w:rsidR="00D62C36" w:rsidRDefault="00D62C36" w:rsidP="0012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524" w:type="dxa"/>
      <w:tblBorders>
        <w:top w:val="single" w:sz="4" w:space="0" w:color="007DB1" w:themeColor="text2"/>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gridCol w:w="4508"/>
    </w:tblGrid>
    <w:tr w:rsidR="00197BC3" w:rsidRPr="00DA0449" w14:paraId="58FD1CF5" w14:textId="77777777" w:rsidTr="00197BC3">
      <w:tc>
        <w:tcPr>
          <w:tcW w:w="4508" w:type="dxa"/>
        </w:tcPr>
        <w:p w14:paraId="113C1055" w14:textId="77777777" w:rsidR="00197BC3" w:rsidRPr="00DA0449" w:rsidRDefault="00197BC3" w:rsidP="00197BC3">
          <w:pPr>
            <w:pStyle w:val="Footer"/>
            <w:spacing w:before="120" w:after="120"/>
            <w:rPr>
              <w:color w:val="007DB1" w:themeColor="text2"/>
              <w:sz w:val="16"/>
              <w:szCs w:val="16"/>
            </w:rPr>
          </w:pPr>
          <w:r w:rsidRPr="00DA0449">
            <w:rPr>
              <w:color w:val="007DB1" w:themeColor="text2"/>
              <w:sz w:val="16"/>
              <w:szCs w:val="16"/>
            </w:rPr>
            <w:t xml:space="preserve">Respectful </w:t>
          </w:r>
          <w:r w:rsidRPr="00DA0449">
            <w:rPr>
              <w:color w:val="007DB1" w:themeColor="text2"/>
              <w:sz w:val="16"/>
              <w:szCs w:val="16"/>
            </w:rPr>
            <w:sym w:font="Symbol" w:char="F0B7"/>
          </w:r>
          <w:r w:rsidRPr="00DA0449">
            <w:rPr>
              <w:color w:val="007DB1" w:themeColor="text2"/>
              <w:sz w:val="16"/>
              <w:szCs w:val="16"/>
            </w:rPr>
            <w:t xml:space="preserve"> Positive </w:t>
          </w:r>
          <w:r w:rsidRPr="00DA0449">
            <w:rPr>
              <w:color w:val="007DB1" w:themeColor="text2"/>
              <w:sz w:val="16"/>
              <w:szCs w:val="16"/>
            </w:rPr>
            <w:sym w:font="Symbol" w:char="F0B7"/>
          </w:r>
          <w:r w:rsidRPr="00DA0449">
            <w:rPr>
              <w:color w:val="007DB1" w:themeColor="text2"/>
              <w:sz w:val="16"/>
              <w:szCs w:val="16"/>
            </w:rPr>
            <w:t xml:space="preserve"> Supportive</w:t>
          </w:r>
        </w:p>
      </w:tc>
      <w:tc>
        <w:tcPr>
          <w:tcW w:w="4508" w:type="dxa"/>
        </w:tcPr>
        <w:p w14:paraId="484B35A4" w14:textId="77777777" w:rsidR="00197BC3" w:rsidRPr="00DA0449" w:rsidRDefault="00197BC3" w:rsidP="00197BC3">
          <w:pPr>
            <w:pStyle w:val="Footer"/>
            <w:spacing w:before="120" w:after="120"/>
            <w:jc w:val="right"/>
            <w:rPr>
              <w:color w:val="007DB1" w:themeColor="text2"/>
              <w:sz w:val="16"/>
              <w:szCs w:val="16"/>
            </w:rPr>
          </w:pPr>
          <w:r w:rsidRPr="00DA0449">
            <w:rPr>
              <w:color w:val="007DB1" w:themeColor="text2"/>
              <w:sz w:val="16"/>
              <w:szCs w:val="16"/>
            </w:rPr>
            <w:t>The South Ayrshire Way</w:t>
          </w:r>
        </w:p>
      </w:tc>
      <w:tc>
        <w:tcPr>
          <w:tcW w:w="4508" w:type="dxa"/>
        </w:tcPr>
        <w:p w14:paraId="0855A73A" w14:textId="77777777" w:rsidR="00197BC3" w:rsidRPr="00DA0449" w:rsidRDefault="00197BC3" w:rsidP="00197BC3">
          <w:pPr>
            <w:pStyle w:val="Footer"/>
            <w:spacing w:before="120" w:after="120"/>
            <w:jc w:val="right"/>
            <w:rPr>
              <w:color w:val="007DB1" w:themeColor="text2"/>
              <w:sz w:val="16"/>
              <w:szCs w:val="16"/>
            </w:rPr>
          </w:pPr>
          <w:r w:rsidRPr="00DA0449">
            <w:rPr>
              <w:color w:val="007DB1" w:themeColor="text2"/>
              <w:sz w:val="16"/>
              <w:szCs w:val="16"/>
            </w:rPr>
            <w:t xml:space="preserve">Respectful </w:t>
          </w:r>
          <w:r w:rsidRPr="00DA0449">
            <w:rPr>
              <w:color w:val="007DB1" w:themeColor="text2"/>
              <w:sz w:val="16"/>
              <w:szCs w:val="16"/>
            </w:rPr>
            <w:sym w:font="Symbol" w:char="F0B7"/>
          </w:r>
          <w:r w:rsidRPr="00DA0449">
            <w:rPr>
              <w:color w:val="007DB1" w:themeColor="text2"/>
              <w:sz w:val="16"/>
              <w:szCs w:val="16"/>
            </w:rPr>
            <w:t xml:space="preserve"> Positive </w:t>
          </w:r>
          <w:r w:rsidRPr="00DA0449">
            <w:rPr>
              <w:color w:val="007DB1" w:themeColor="text2"/>
              <w:sz w:val="16"/>
              <w:szCs w:val="16"/>
            </w:rPr>
            <w:sym w:font="Symbol" w:char="F0B7"/>
          </w:r>
          <w:r w:rsidRPr="00DA0449">
            <w:rPr>
              <w:color w:val="007DB1" w:themeColor="text2"/>
              <w:sz w:val="16"/>
              <w:szCs w:val="16"/>
            </w:rPr>
            <w:t xml:space="preserve"> Supportive</w:t>
          </w:r>
        </w:p>
      </w:tc>
    </w:tr>
  </w:tbl>
  <w:p w14:paraId="014CC863" w14:textId="77777777" w:rsidR="00197BC3" w:rsidRDefault="00197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007DB1" w:themeColor="text2"/>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DA0449" w:rsidRPr="00DA0449" w14:paraId="55747DE5" w14:textId="77777777" w:rsidTr="00DA0449">
      <w:tc>
        <w:tcPr>
          <w:tcW w:w="4508" w:type="dxa"/>
        </w:tcPr>
        <w:p w14:paraId="7603FDA1" w14:textId="77777777" w:rsidR="00DA0449" w:rsidRPr="00DA0449" w:rsidRDefault="00DA0449" w:rsidP="00DA0449">
          <w:pPr>
            <w:pStyle w:val="Footer"/>
            <w:spacing w:before="120" w:after="120"/>
            <w:rPr>
              <w:color w:val="007DB1" w:themeColor="text2"/>
              <w:sz w:val="16"/>
              <w:szCs w:val="16"/>
            </w:rPr>
          </w:pPr>
          <w:r w:rsidRPr="00DA0449">
            <w:rPr>
              <w:color w:val="007DB1" w:themeColor="text2"/>
              <w:sz w:val="16"/>
              <w:szCs w:val="16"/>
            </w:rPr>
            <w:t>The South Ayrshire Way</w:t>
          </w:r>
        </w:p>
      </w:tc>
      <w:tc>
        <w:tcPr>
          <w:tcW w:w="4508" w:type="dxa"/>
        </w:tcPr>
        <w:p w14:paraId="1225F6A9" w14:textId="77777777" w:rsidR="00DA0449" w:rsidRPr="00DA0449" w:rsidRDefault="00DA0449" w:rsidP="00DA0449">
          <w:pPr>
            <w:pStyle w:val="Footer"/>
            <w:spacing w:before="120" w:after="120"/>
            <w:jc w:val="right"/>
            <w:rPr>
              <w:color w:val="007DB1" w:themeColor="text2"/>
              <w:sz w:val="16"/>
              <w:szCs w:val="16"/>
            </w:rPr>
          </w:pPr>
          <w:r w:rsidRPr="00DA0449">
            <w:rPr>
              <w:color w:val="007DB1" w:themeColor="text2"/>
              <w:sz w:val="16"/>
              <w:szCs w:val="16"/>
            </w:rPr>
            <w:t xml:space="preserve">Respectful </w:t>
          </w:r>
          <w:r w:rsidRPr="00DA0449">
            <w:rPr>
              <w:color w:val="007DB1" w:themeColor="text2"/>
              <w:sz w:val="16"/>
              <w:szCs w:val="16"/>
            </w:rPr>
            <w:sym w:font="Symbol" w:char="F0B7"/>
          </w:r>
          <w:r w:rsidRPr="00DA0449">
            <w:rPr>
              <w:color w:val="007DB1" w:themeColor="text2"/>
              <w:sz w:val="16"/>
              <w:szCs w:val="16"/>
            </w:rPr>
            <w:t xml:space="preserve"> Positive </w:t>
          </w:r>
          <w:r w:rsidRPr="00DA0449">
            <w:rPr>
              <w:color w:val="007DB1" w:themeColor="text2"/>
              <w:sz w:val="16"/>
              <w:szCs w:val="16"/>
            </w:rPr>
            <w:sym w:font="Symbol" w:char="F0B7"/>
          </w:r>
          <w:r w:rsidRPr="00DA0449">
            <w:rPr>
              <w:color w:val="007DB1" w:themeColor="text2"/>
              <w:sz w:val="16"/>
              <w:szCs w:val="16"/>
            </w:rPr>
            <w:t xml:space="preserve"> Supportive</w:t>
          </w:r>
        </w:p>
      </w:tc>
    </w:tr>
  </w:tbl>
  <w:p w14:paraId="710EA57C" w14:textId="77777777" w:rsidR="00DA0449" w:rsidRDefault="00DA0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D019" w14:textId="77777777" w:rsidR="00DA0449" w:rsidRDefault="00197BC3">
    <w:pPr>
      <w:pStyle w:val="Footer"/>
    </w:pPr>
    <w:r>
      <w:rPr>
        <w:noProof/>
        <w:lang w:eastAsia="en-GB"/>
      </w:rPr>
      <w:drawing>
        <wp:anchor distT="0" distB="0" distL="114300" distR="114300" simplePos="0" relativeHeight="251661312" behindDoc="0" locked="0" layoutInCell="1" allowOverlap="1" wp14:anchorId="60947A24" wp14:editId="3B1E9676">
          <wp:simplePos x="0" y="0"/>
          <wp:positionH relativeFrom="margin">
            <wp:align>left</wp:align>
          </wp:positionH>
          <wp:positionV relativeFrom="margin">
            <wp:align>bottom</wp:align>
          </wp:positionV>
          <wp:extent cx="1891030" cy="26060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 circ.png"/>
                  <pic:cNvPicPr/>
                </pic:nvPicPr>
                <pic:blipFill>
                  <a:blip r:embed="rId1">
                    <a:extLst>
                      <a:ext uri="{28A0092B-C50C-407E-A947-70E740481C1C}">
                        <a14:useLocalDpi xmlns:a14="http://schemas.microsoft.com/office/drawing/2010/main" val="0"/>
                      </a:ext>
                    </a:extLst>
                  </a:blip>
                  <a:stretch>
                    <a:fillRect/>
                  </a:stretch>
                </pic:blipFill>
                <pic:spPr>
                  <a:xfrm>
                    <a:off x="0" y="0"/>
                    <a:ext cx="1891030" cy="26060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1903" w14:textId="77777777" w:rsidR="00D62C36" w:rsidRDefault="00D62C36" w:rsidP="001277E4">
      <w:pPr>
        <w:spacing w:after="0" w:line="240" w:lineRule="auto"/>
      </w:pPr>
      <w:r>
        <w:separator/>
      </w:r>
    </w:p>
  </w:footnote>
  <w:footnote w:type="continuationSeparator" w:id="0">
    <w:p w14:paraId="0EDAFFCA" w14:textId="77777777" w:rsidR="00D62C36" w:rsidRDefault="00D62C36" w:rsidP="00127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197BC3" w14:paraId="44FAD1D8" w14:textId="77777777" w:rsidTr="00BE6FA6">
      <w:tc>
        <w:tcPr>
          <w:tcW w:w="4508" w:type="dxa"/>
        </w:tcPr>
        <w:p w14:paraId="31E99148" w14:textId="77777777" w:rsidR="00197BC3" w:rsidRPr="00DA0449" w:rsidRDefault="00197BC3" w:rsidP="00197BC3">
          <w:pPr>
            <w:pStyle w:val="Header"/>
            <w:rPr>
              <w:b/>
              <w:sz w:val="16"/>
              <w:szCs w:val="16"/>
            </w:rPr>
          </w:pPr>
          <w:r w:rsidRPr="00DA0449">
            <w:rPr>
              <w:b/>
              <w:sz w:val="16"/>
              <w:szCs w:val="16"/>
            </w:rPr>
            <w:t xml:space="preserve">PAGE </w:t>
          </w:r>
          <w:r w:rsidRPr="00DA0449">
            <w:rPr>
              <w:b/>
              <w:sz w:val="16"/>
              <w:szCs w:val="16"/>
            </w:rPr>
            <w:fldChar w:fldCharType="begin"/>
          </w:r>
          <w:r w:rsidRPr="00DA0449">
            <w:rPr>
              <w:b/>
              <w:sz w:val="16"/>
              <w:szCs w:val="16"/>
            </w:rPr>
            <w:instrText xml:space="preserve"> PAGE   \* MERGEFORMAT </w:instrText>
          </w:r>
          <w:r w:rsidRPr="00DA0449">
            <w:rPr>
              <w:b/>
              <w:sz w:val="16"/>
              <w:szCs w:val="16"/>
            </w:rPr>
            <w:fldChar w:fldCharType="separate"/>
          </w:r>
          <w:r w:rsidR="003E79FE">
            <w:rPr>
              <w:b/>
              <w:noProof/>
              <w:sz w:val="16"/>
              <w:szCs w:val="16"/>
            </w:rPr>
            <w:t>4</w:t>
          </w:r>
          <w:r w:rsidRPr="00DA0449">
            <w:rPr>
              <w:b/>
              <w:noProof/>
              <w:sz w:val="16"/>
              <w:szCs w:val="16"/>
            </w:rPr>
            <w:fldChar w:fldCharType="end"/>
          </w:r>
        </w:p>
      </w:tc>
      <w:tc>
        <w:tcPr>
          <w:tcW w:w="4508" w:type="dxa"/>
        </w:tcPr>
        <w:p w14:paraId="687754BD" w14:textId="77777777" w:rsidR="00197BC3" w:rsidRDefault="00197BC3" w:rsidP="00197BC3">
          <w:pPr>
            <w:pStyle w:val="Header"/>
            <w:jc w:val="right"/>
          </w:pPr>
        </w:p>
      </w:tc>
    </w:tr>
  </w:tbl>
  <w:p w14:paraId="6551169F" w14:textId="77777777" w:rsidR="00197BC3" w:rsidRPr="00197BC3" w:rsidRDefault="00197BC3" w:rsidP="00197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3A1927" w:rsidRPr="003A1927" w14:paraId="23D488BE" w14:textId="77777777" w:rsidTr="00197BC3">
      <w:tc>
        <w:tcPr>
          <w:tcW w:w="4508" w:type="dxa"/>
        </w:tcPr>
        <w:p w14:paraId="3E1E1855" w14:textId="77777777" w:rsidR="00DA0449" w:rsidRPr="003A1927" w:rsidRDefault="00DA0449" w:rsidP="00DA0449">
          <w:pPr>
            <w:pStyle w:val="Header"/>
            <w:rPr>
              <w:color w:val="403F41" w:themeColor="text1" w:themeShade="80"/>
            </w:rPr>
          </w:pPr>
        </w:p>
      </w:tc>
      <w:tc>
        <w:tcPr>
          <w:tcW w:w="4508" w:type="dxa"/>
        </w:tcPr>
        <w:p w14:paraId="2398467A" w14:textId="77777777" w:rsidR="00DA0449" w:rsidRPr="003A1927" w:rsidRDefault="00DA0449" w:rsidP="00DA0449">
          <w:pPr>
            <w:pStyle w:val="Header"/>
            <w:jc w:val="right"/>
            <w:rPr>
              <w:b/>
              <w:color w:val="403F41" w:themeColor="text1" w:themeShade="80"/>
              <w:sz w:val="16"/>
              <w:szCs w:val="16"/>
            </w:rPr>
          </w:pPr>
          <w:r w:rsidRPr="003A1927">
            <w:rPr>
              <w:b/>
              <w:color w:val="403F41" w:themeColor="text1" w:themeShade="80"/>
              <w:sz w:val="16"/>
              <w:szCs w:val="16"/>
            </w:rPr>
            <w:t xml:space="preserve">PAGE </w:t>
          </w:r>
          <w:r w:rsidRPr="003A1927">
            <w:rPr>
              <w:b/>
              <w:color w:val="403F41" w:themeColor="text1" w:themeShade="80"/>
              <w:sz w:val="16"/>
              <w:szCs w:val="16"/>
            </w:rPr>
            <w:fldChar w:fldCharType="begin"/>
          </w:r>
          <w:r w:rsidRPr="003A1927">
            <w:rPr>
              <w:b/>
              <w:color w:val="403F41" w:themeColor="text1" w:themeShade="80"/>
              <w:sz w:val="16"/>
              <w:szCs w:val="16"/>
            </w:rPr>
            <w:instrText xml:space="preserve"> PAGE   \* MERGEFORMAT </w:instrText>
          </w:r>
          <w:r w:rsidRPr="003A1927">
            <w:rPr>
              <w:b/>
              <w:color w:val="403F41" w:themeColor="text1" w:themeShade="80"/>
              <w:sz w:val="16"/>
              <w:szCs w:val="16"/>
            </w:rPr>
            <w:fldChar w:fldCharType="separate"/>
          </w:r>
          <w:r w:rsidR="003E79FE">
            <w:rPr>
              <w:b/>
              <w:noProof/>
              <w:color w:val="403F41" w:themeColor="text1" w:themeShade="80"/>
              <w:sz w:val="16"/>
              <w:szCs w:val="16"/>
            </w:rPr>
            <w:t>3</w:t>
          </w:r>
          <w:r w:rsidRPr="003A1927">
            <w:rPr>
              <w:b/>
              <w:noProof/>
              <w:color w:val="403F41" w:themeColor="text1" w:themeShade="80"/>
              <w:sz w:val="16"/>
              <w:szCs w:val="16"/>
            </w:rPr>
            <w:fldChar w:fldCharType="end"/>
          </w:r>
        </w:p>
      </w:tc>
    </w:tr>
  </w:tbl>
  <w:p w14:paraId="2B8EB35F" w14:textId="77777777" w:rsidR="00DA0449" w:rsidRPr="00DA0449" w:rsidRDefault="00DA0449" w:rsidP="00DA0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0FC1" w14:textId="77777777" w:rsidR="00DA0449" w:rsidRDefault="00197BC3">
    <w:pPr>
      <w:pStyle w:val="Header"/>
    </w:pPr>
    <w:r>
      <w:rPr>
        <w:noProof/>
        <w:lang w:eastAsia="en-GB"/>
      </w:rPr>
      <w:drawing>
        <wp:anchor distT="0" distB="0" distL="114300" distR="114300" simplePos="0" relativeHeight="251662336" behindDoc="0" locked="0" layoutInCell="1" allowOverlap="1" wp14:anchorId="057B700E" wp14:editId="6B868480">
          <wp:simplePos x="0" y="0"/>
          <wp:positionH relativeFrom="column">
            <wp:posOffset>5009515</wp:posOffset>
          </wp:positionH>
          <wp:positionV relativeFrom="paragraph">
            <wp:posOffset>78105</wp:posOffset>
          </wp:positionV>
          <wp:extent cx="1190625" cy="468933"/>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uth Ayrshire council.png"/>
                  <pic:cNvPicPr/>
                </pic:nvPicPr>
                <pic:blipFill>
                  <a:blip r:embed="rId1">
                    <a:extLst>
                      <a:ext uri="{28A0092B-C50C-407E-A947-70E740481C1C}">
                        <a14:useLocalDpi xmlns:a14="http://schemas.microsoft.com/office/drawing/2010/main" val="0"/>
                      </a:ext>
                    </a:extLst>
                  </a:blip>
                  <a:stretch>
                    <a:fillRect/>
                  </a:stretch>
                </pic:blipFill>
                <pic:spPr>
                  <a:xfrm>
                    <a:off x="0" y="0"/>
                    <a:ext cx="1190625" cy="468933"/>
                  </a:xfrm>
                  <a:prstGeom prst="rect">
                    <a:avLst/>
                  </a:prstGeom>
                </pic:spPr>
              </pic:pic>
            </a:graphicData>
          </a:graphic>
          <wp14:sizeRelH relativeFrom="margin">
            <wp14:pctWidth>0</wp14:pctWidth>
          </wp14:sizeRelH>
          <wp14:sizeRelV relativeFrom="margin">
            <wp14:pctHeight>0</wp14:pctHeight>
          </wp14:sizeRelV>
        </wp:anchor>
      </w:drawing>
    </w:r>
    <w:r w:rsidR="00DA0449">
      <w:rPr>
        <w:noProof/>
        <w:lang w:eastAsia="en-GB"/>
      </w:rPr>
      <w:drawing>
        <wp:anchor distT="0" distB="0" distL="114300" distR="114300" simplePos="0" relativeHeight="251660288" behindDoc="0" locked="0" layoutInCell="1" allowOverlap="1" wp14:anchorId="22962447" wp14:editId="74FA8258">
          <wp:simplePos x="0" y="0"/>
          <wp:positionH relativeFrom="column">
            <wp:posOffset>4381500</wp:posOffset>
          </wp:positionH>
          <wp:positionV relativeFrom="paragraph">
            <wp:posOffset>2735580</wp:posOffset>
          </wp:positionV>
          <wp:extent cx="4514097" cy="4512573"/>
          <wp:effectExtent l="0" t="0" r="127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 circ.png"/>
                  <pic:cNvPicPr/>
                </pic:nvPicPr>
                <pic:blipFill>
                  <a:blip r:embed="rId2">
                    <a:extLst>
                      <a:ext uri="{28A0092B-C50C-407E-A947-70E740481C1C}">
                        <a14:useLocalDpi xmlns:a14="http://schemas.microsoft.com/office/drawing/2010/main" val="0"/>
                      </a:ext>
                    </a:extLst>
                  </a:blip>
                  <a:stretch>
                    <a:fillRect/>
                  </a:stretch>
                </pic:blipFill>
                <pic:spPr>
                  <a:xfrm>
                    <a:off x="0" y="0"/>
                    <a:ext cx="4514097" cy="4512573"/>
                  </a:xfrm>
                  <a:prstGeom prst="rect">
                    <a:avLst/>
                  </a:prstGeom>
                </pic:spPr>
              </pic:pic>
            </a:graphicData>
          </a:graphic>
          <wp14:sizeRelH relativeFrom="page">
            <wp14:pctWidth>0</wp14:pctWidth>
          </wp14:sizeRelH>
          <wp14:sizeRelV relativeFrom="page">
            <wp14:pctHeight>0</wp14:pctHeight>
          </wp14:sizeRelV>
        </wp:anchor>
      </w:drawing>
    </w:r>
    <w:r w:rsidR="00DA0449">
      <w:rPr>
        <w:noProof/>
        <w:lang w:eastAsia="en-GB"/>
      </w:rPr>
      <mc:AlternateContent>
        <mc:Choice Requires="wps">
          <w:drawing>
            <wp:anchor distT="0" distB="0" distL="114300" distR="114300" simplePos="0" relativeHeight="251659264" behindDoc="0" locked="0" layoutInCell="1" allowOverlap="1" wp14:anchorId="49675FE8" wp14:editId="1DD71D87">
              <wp:simplePos x="0" y="0"/>
              <wp:positionH relativeFrom="column">
                <wp:posOffset>-904875</wp:posOffset>
              </wp:positionH>
              <wp:positionV relativeFrom="margin">
                <wp:posOffset>4415155</wp:posOffset>
              </wp:positionV>
              <wp:extent cx="7560000" cy="5346000"/>
              <wp:effectExtent l="0" t="0" r="3175" b="7620"/>
              <wp:wrapNone/>
              <wp:docPr id="1" name="Rectangle 1"/>
              <wp:cNvGraphicFramePr/>
              <a:graphic xmlns:a="http://schemas.openxmlformats.org/drawingml/2006/main">
                <a:graphicData uri="http://schemas.microsoft.com/office/word/2010/wordprocessingShape">
                  <wps:wsp>
                    <wps:cNvSpPr/>
                    <wps:spPr>
                      <a:xfrm>
                        <a:off x="0" y="0"/>
                        <a:ext cx="7560000" cy="5346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9615E" id="Rectangle 1" o:spid="_x0000_s1026" style="position:absolute;margin-left:-71.25pt;margin-top:347.65pt;width:595.3pt;height:4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" fillcolor="#72cdf4 [3214]" stroked="f" strokeweight="1pt">
              <w10:wrap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8D4"/>
    <w:multiLevelType w:val="hybridMultilevel"/>
    <w:tmpl w:val="62722204"/>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11A5B"/>
    <w:multiLevelType w:val="multilevel"/>
    <w:tmpl w:val="3DB26596"/>
    <w:lvl w:ilvl="0">
      <w:start w:val="1"/>
      <w:numFmt w:val="decimal"/>
      <w:pStyle w:val="Heading1"/>
      <w:lvlText w:val="%1."/>
      <w:lvlJc w:val="left"/>
      <w:pPr>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ind w:left="851" w:firstLine="0"/>
      </w:pPr>
      <w:rPr>
        <w:rFonts w:hint="default"/>
        <w:color w:val="403F41" w:themeColor="text1" w:themeShade="8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DC4613"/>
    <w:multiLevelType w:val="hybridMultilevel"/>
    <w:tmpl w:val="F4D2D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4574C2"/>
    <w:multiLevelType w:val="hybridMultilevel"/>
    <w:tmpl w:val="1F7078FE"/>
    <w:lvl w:ilvl="0" w:tplc="1BBA2E4A">
      <w:start w:val="10"/>
      <w:numFmt w:val="decimal"/>
      <w:pStyle w:val="Heading5"/>
      <w:lvlText w:val="%1"/>
      <w:lvlJc w:val="left"/>
      <w:pPr>
        <w:tabs>
          <w:tab w:val="num" w:pos="720"/>
        </w:tabs>
        <w:ind w:left="720" w:hanging="360"/>
      </w:pPr>
      <w:rPr>
        <w:rFonts w:hint="default"/>
      </w:rPr>
    </w:lvl>
    <w:lvl w:ilvl="1" w:tplc="4BDCB174">
      <w:start w:val="2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531032"/>
    <w:multiLevelType w:val="hybridMultilevel"/>
    <w:tmpl w:val="A1C467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FE2F15"/>
    <w:multiLevelType w:val="hybridMultilevel"/>
    <w:tmpl w:val="761A4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C45358"/>
    <w:multiLevelType w:val="hybridMultilevel"/>
    <w:tmpl w:val="4F281732"/>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540175"/>
    <w:multiLevelType w:val="hybridMultilevel"/>
    <w:tmpl w:val="3ABCB75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F45865"/>
    <w:multiLevelType w:val="hybridMultilevel"/>
    <w:tmpl w:val="E0FA8B14"/>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1F5"/>
    <w:rsid w:val="000C612E"/>
    <w:rsid w:val="000D5816"/>
    <w:rsid w:val="00115EF4"/>
    <w:rsid w:val="001277E4"/>
    <w:rsid w:val="00197BC3"/>
    <w:rsid w:val="001C0BBD"/>
    <w:rsid w:val="00231DF6"/>
    <w:rsid w:val="00283ADA"/>
    <w:rsid w:val="00383FA9"/>
    <w:rsid w:val="003A1927"/>
    <w:rsid w:val="003C6A7B"/>
    <w:rsid w:val="003E79FE"/>
    <w:rsid w:val="00433A6E"/>
    <w:rsid w:val="00516B1E"/>
    <w:rsid w:val="00592749"/>
    <w:rsid w:val="005B47B3"/>
    <w:rsid w:val="005F1984"/>
    <w:rsid w:val="006775BB"/>
    <w:rsid w:val="00756666"/>
    <w:rsid w:val="00813619"/>
    <w:rsid w:val="0082747E"/>
    <w:rsid w:val="0088137F"/>
    <w:rsid w:val="008E20B8"/>
    <w:rsid w:val="00907A5E"/>
    <w:rsid w:val="009175ED"/>
    <w:rsid w:val="009410F0"/>
    <w:rsid w:val="009D56BE"/>
    <w:rsid w:val="009F0B00"/>
    <w:rsid w:val="00A41D6C"/>
    <w:rsid w:val="00B06CC6"/>
    <w:rsid w:val="00B32E63"/>
    <w:rsid w:val="00B51448"/>
    <w:rsid w:val="00B76608"/>
    <w:rsid w:val="00C03674"/>
    <w:rsid w:val="00C13C22"/>
    <w:rsid w:val="00D62C36"/>
    <w:rsid w:val="00DA0449"/>
    <w:rsid w:val="00ED17EC"/>
    <w:rsid w:val="00F64624"/>
    <w:rsid w:val="00F87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3291FE"/>
  <w15:docId w15:val="{55C389EF-9A35-43B6-921C-C32BF35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4"/>
    <w:rPr>
      <w:color w:val="807F83" w:themeColor="text1"/>
      <w:sz w:val="20"/>
    </w:rPr>
  </w:style>
  <w:style w:type="paragraph" w:styleId="Heading1">
    <w:name w:val="heading 1"/>
    <w:basedOn w:val="BodyText1"/>
    <w:next w:val="Normal"/>
    <w:link w:val="Heading1Char"/>
    <w:uiPriority w:val="9"/>
    <w:qFormat/>
    <w:rsid w:val="003A1927"/>
    <w:pPr>
      <w:numPr>
        <w:numId w:val="1"/>
      </w:numPr>
      <w:outlineLvl w:val="0"/>
    </w:pPr>
    <w:rPr>
      <w:b/>
    </w:rPr>
  </w:style>
  <w:style w:type="paragraph" w:styleId="Heading2">
    <w:name w:val="heading 2"/>
    <w:basedOn w:val="BodyText1"/>
    <w:next w:val="Normal"/>
    <w:link w:val="Heading2Char"/>
    <w:uiPriority w:val="9"/>
    <w:unhideWhenUsed/>
    <w:qFormat/>
    <w:rsid w:val="003A1927"/>
    <w:pPr>
      <w:numPr>
        <w:ilvl w:val="1"/>
        <w:numId w:val="1"/>
      </w:numPr>
      <w:outlineLvl w:val="1"/>
    </w:pPr>
  </w:style>
  <w:style w:type="paragraph" w:styleId="Heading3">
    <w:name w:val="heading 3"/>
    <w:basedOn w:val="BodyText1"/>
    <w:next w:val="Normal"/>
    <w:link w:val="Heading3Char"/>
    <w:uiPriority w:val="9"/>
    <w:unhideWhenUsed/>
    <w:qFormat/>
    <w:rsid w:val="003A1927"/>
    <w:pPr>
      <w:numPr>
        <w:ilvl w:val="2"/>
        <w:numId w:val="1"/>
      </w:numPr>
      <w:outlineLvl w:val="2"/>
    </w:pPr>
  </w:style>
  <w:style w:type="paragraph" w:styleId="Heading5">
    <w:name w:val="heading 5"/>
    <w:basedOn w:val="Normal"/>
    <w:next w:val="Normal"/>
    <w:link w:val="Heading5Char"/>
    <w:qFormat/>
    <w:rsid w:val="00C03674"/>
    <w:pPr>
      <w:keepNext/>
      <w:numPr>
        <w:numId w:val="3"/>
      </w:numPr>
      <w:tabs>
        <w:tab w:val="clear" w:pos="720"/>
        <w:tab w:val="num" w:pos="0"/>
      </w:tabs>
      <w:spacing w:after="0" w:line="240" w:lineRule="auto"/>
      <w:ind w:hanging="720"/>
      <w:jc w:val="both"/>
      <w:outlineLvl w:val="4"/>
    </w:pPr>
    <w:rPr>
      <w:rFonts w:ascii="Arial" w:eastAsia="Times New Roman" w:hAnsi="Arial" w:cs="Arial"/>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E4"/>
  </w:style>
  <w:style w:type="paragraph" w:styleId="Footer">
    <w:name w:val="footer"/>
    <w:basedOn w:val="Normal"/>
    <w:link w:val="FooterChar"/>
    <w:uiPriority w:val="99"/>
    <w:unhideWhenUsed/>
    <w:rsid w:val="00127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7E4"/>
  </w:style>
  <w:style w:type="character" w:customStyle="1" w:styleId="Heading1Char">
    <w:name w:val="Heading 1 Char"/>
    <w:basedOn w:val="DefaultParagraphFont"/>
    <w:link w:val="Heading1"/>
    <w:uiPriority w:val="9"/>
    <w:rsid w:val="003A1927"/>
    <w:rPr>
      <w:b/>
      <w:color w:val="403F41" w:themeColor="text1" w:themeShade="80"/>
      <w:sz w:val="20"/>
    </w:rPr>
  </w:style>
  <w:style w:type="character" w:customStyle="1" w:styleId="Heading2Char">
    <w:name w:val="Heading 2 Char"/>
    <w:basedOn w:val="DefaultParagraphFont"/>
    <w:link w:val="Heading2"/>
    <w:uiPriority w:val="9"/>
    <w:rsid w:val="003A1927"/>
    <w:rPr>
      <w:color w:val="403F41" w:themeColor="text1" w:themeShade="80"/>
      <w:sz w:val="20"/>
    </w:rPr>
  </w:style>
  <w:style w:type="paragraph" w:customStyle="1" w:styleId="BodyText1">
    <w:name w:val="Body Text1"/>
    <w:basedOn w:val="Normal"/>
    <w:qFormat/>
    <w:rsid w:val="003A1927"/>
    <w:rPr>
      <w:color w:val="403F41" w:themeColor="text1" w:themeShade="80"/>
    </w:rPr>
  </w:style>
  <w:style w:type="character" w:styleId="Strong">
    <w:name w:val="Strong"/>
    <w:basedOn w:val="DefaultParagraphFont"/>
    <w:uiPriority w:val="22"/>
    <w:qFormat/>
    <w:rsid w:val="000C612E"/>
    <w:rPr>
      <w:b/>
      <w:bCs/>
      <w:color w:val="007DB1" w:themeColor="text2"/>
    </w:rPr>
  </w:style>
  <w:style w:type="character" w:customStyle="1" w:styleId="Heading3Char">
    <w:name w:val="Heading 3 Char"/>
    <w:basedOn w:val="DefaultParagraphFont"/>
    <w:link w:val="Heading3"/>
    <w:uiPriority w:val="9"/>
    <w:rsid w:val="003A1927"/>
    <w:rPr>
      <w:color w:val="403F41" w:themeColor="text1" w:themeShade="80"/>
      <w:sz w:val="20"/>
    </w:rPr>
  </w:style>
  <w:style w:type="paragraph" w:customStyle="1" w:styleId="AIM">
    <w:name w:val="AIM"/>
    <w:basedOn w:val="BodyText1"/>
    <w:qFormat/>
    <w:rsid w:val="003A1927"/>
    <w:pPr>
      <w:spacing w:after="360"/>
      <w:ind w:left="851" w:hanging="851"/>
    </w:pPr>
    <w:rPr>
      <w:sz w:val="24"/>
      <w:szCs w:val="24"/>
    </w:rPr>
  </w:style>
  <w:style w:type="table" w:styleId="TableGrid">
    <w:name w:val="Table Grid"/>
    <w:basedOn w:val="TableNormal"/>
    <w:uiPriority w:val="39"/>
    <w:rsid w:val="00DA0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A1927"/>
    <w:pPr>
      <w:numPr>
        <w:numId w:val="0"/>
      </w:numPr>
      <w:outlineLvl w:val="9"/>
    </w:pPr>
    <w:rPr>
      <w:b w:val="0"/>
      <w:color w:val="007DB1" w:themeColor="text2"/>
      <w:sz w:val="48"/>
      <w:szCs w:val="48"/>
    </w:rPr>
  </w:style>
  <w:style w:type="paragraph" w:styleId="TOC1">
    <w:name w:val="toc 1"/>
    <w:basedOn w:val="Normal"/>
    <w:next w:val="Normal"/>
    <w:autoRedefine/>
    <w:uiPriority w:val="39"/>
    <w:unhideWhenUsed/>
    <w:rsid w:val="003A1927"/>
    <w:pPr>
      <w:tabs>
        <w:tab w:val="left" w:pos="440"/>
        <w:tab w:val="right" w:leader="dot" w:pos="9016"/>
      </w:tabs>
      <w:spacing w:after="100"/>
    </w:pPr>
  </w:style>
  <w:style w:type="character" w:styleId="Hyperlink">
    <w:name w:val="Hyperlink"/>
    <w:basedOn w:val="DefaultParagraphFont"/>
    <w:uiPriority w:val="99"/>
    <w:unhideWhenUsed/>
    <w:rsid w:val="00197BC3"/>
    <w:rPr>
      <w:color w:val="007DB1" w:themeColor="hyperlink"/>
      <w:u w:val="single"/>
    </w:rPr>
  </w:style>
  <w:style w:type="paragraph" w:styleId="ListParagraph">
    <w:name w:val="List Paragraph"/>
    <w:basedOn w:val="Normal"/>
    <w:uiPriority w:val="34"/>
    <w:qFormat/>
    <w:rsid w:val="003A1927"/>
    <w:pPr>
      <w:ind w:left="720"/>
    </w:pPr>
    <w:rPr>
      <w:color w:val="403F41" w:themeColor="text1" w:themeShade="80"/>
    </w:rPr>
  </w:style>
  <w:style w:type="paragraph" w:customStyle="1" w:styleId="SectionHead">
    <w:name w:val="Section Head"/>
    <w:basedOn w:val="Heading1"/>
    <w:qFormat/>
    <w:rsid w:val="003A1927"/>
    <w:pPr>
      <w:numPr>
        <w:numId w:val="0"/>
      </w:numPr>
      <w:spacing w:after="360"/>
    </w:pPr>
    <w:rPr>
      <w:b w:val="0"/>
      <w:color w:val="007DB1" w:themeColor="text2"/>
      <w:sz w:val="48"/>
      <w:szCs w:val="48"/>
    </w:rPr>
  </w:style>
  <w:style w:type="paragraph" w:styleId="TOC2">
    <w:name w:val="toc 2"/>
    <w:basedOn w:val="Normal"/>
    <w:next w:val="Normal"/>
    <w:autoRedefine/>
    <w:uiPriority w:val="39"/>
    <w:unhideWhenUsed/>
    <w:rsid w:val="003A1927"/>
    <w:pPr>
      <w:spacing w:after="100"/>
      <w:ind w:left="200"/>
    </w:pPr>
  </w:style>
  <w:style w:type="paragraph" w:styleId="TOC3">
    <w:name w:val="toc 3"/>
    <w:basedOn w:val="Normal"/>
    <w:next w:val="Normal"/>
    <w:autoRedefine/>
    <w:uiPriority w:val="39"/>
    <w:unhideWhenUsed/>
    <w:rsid w:val="003A1927"/>
    <w:pPr>
      <w:spacing w:after="100"/>
      <w:ind w:left="400"/>
    </w:pPr>
  </w:style>
  <w:style w:type="paragraph" w:styleId="BalloonText">
    <w:name w:val="Balloon Text"/>
    <w:basedOn w:val="Normal"/>
    <w:link w:val="BalloonTextChar"/>
    <w:uiPriority w:val="99"/>
    <w:semiHidden/>
    <w:unhideWhenUsed/>
    <w:rsid w:val="00B3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E63"/>
    <w:rPr>
      <w:rFonts w:ascii="Tahoma" w:hAnsi="Tahoma" w:cs="Tahoma"/>
      <w:color w:val="807F83" w:themeColor="text1"/>
      <w:sz w:val="16"/>
      <w:szCs w:val="16"/>
    </w:rPr>
  </w:style>
  <w:style w:type="paragraph" w:styleId="BodyTextIndent">
    <w:name w:val="Body Text Indent"/>
    <w:basedOn w:val="Normal"/>
    <w:link w:val="BodyTextIndentChar"/>
    <w:semiHidden/>
    <w:rsid w:val="00B06CC6"/>
    <w:pPr>
      <w:spacing w:after="0" w:line="240" w:lineRule="auto"/>
      <w:ind w:left="720" w:hanging="720"/>
      <w:jc w:val="both"/>
    </w:pPr>
    <w:rPr>
      <w:rFonts w:ascii="Arial" w:eastAsia="Times New Roman" w:hAnsi="Arial" w:cs="Arial"/>
      <w:color w:val="auto"/>
      <w:sz w:val="24"/>
      <w:szCs w:val="24"/>
    </w:rPr>
  </w:style>
  <w:style w:type="character" w:customStyle="1" w:styleId="BodyTextIndentChar">
    <w:name w:val="Body Text Indent Char"/>
    <w:basedOn w:val="DefaultParagraphFont"/>
    <w:link w:val="BodyTextIndent"/>
    <w:semiHidden/>
    <w:rsid w:val="00B06CC6"/>
    <w:rPr>
      <w:rFonts w:ascii="Arial" w:eastAsia="Times New Roman" w:hAnsi="Arial" w:cs="Arial"/>
      <w:sz w:val="24"/>
      <w:szCs w:val="24"/>
    </w:rPr>
  </w:style>
  <w:style w:type="character" w:customStyle="1" w:styleId="Heading5Char">
    <w:name w:val="Heading 5 Char"/>
    <w:basedOn w:val="DefaultParagraphFont"/>
    <w:link w:val="Heading5"/>
    <w:rsid w:val="00C03674"/>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lim\AppData\Local\Microsoft\Windows\Temporary%20Internet%20Files\Content.Outlook\X3VWIT1E\South%20Ayrshire%20Way%20Report%20Template.dotx" TargetMode="External"/></Relationships>
</file>

<file path=word/theme/theme1.xml><?xml version="1.0" encoding="utf-8"?>
<a:theme xmlns:a="http://schemas.openxmlformats.org/drawingml/2006/main" name="Office Theme">
  <a:themeElements>
    <a:clrScheme name="South Ayrshire Health 2">
      <a:dk1>
        <a:srgbClr val="807F83"/>
      </a:dk1>
      <a:lt1>
        <a:sysClr val="window" lastClr="FFFFFF"/>
      </a:lt1>
      <a:dk2>
        <a:srgbClr val="007DB1"/>
      </a:dk2>
      <a:lt2>
        <a:srgbClr val="72CDF4"/>
      </a:lt2>
      <a:accent1>
        <a:srgbClr val="795AA6"/>
      </a:accent1>
      <a:accent2>
        <a:srgbClr val="ED7D31"/>
      </a:accent2>
      <a:accent3>
        <a:srgbClr val="A5A5A5"/>
      </a:accent3>
      <a:accent4>
        <a:srgbClr val="FFC000"/>
      </a:accent4>
      <a:accent5>
        <a:srgbClr val="4472C4"/>
      </a:accent5>
      <a:accent6>
        <a:srgbClr val="70AD47"/>
      </a:accent6>
      <a:hlink>
        <a:srgbClr val="007DB1"/>
      </a:hlink>
      <a:folHlink>
        <a:srgbClr val="72CDF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87D922B77CB524CA83A387123D92985" ma:contentTypeVersion="0" ma:contentTypeDescription="Create a new document." ma:contentTypeScope="" ma:versionID="95938a118c23061fd6774512d2ea039d">
  <xsd:schema xmlns:xsd="http://www.w3.org/2001/XMLSchema" xmlns:xs="http://www.w3.org/2001/XMLSchema" xmlns:p="http://schemas.microsoft.com/office/2006/metadata/properties" xmlns:ns2="473f34c4-19d0-481f-be5b-43ce8c44d05e" targetNamespace="http://schemas.microsoft.com/office/2006/metadata/properties" ma:root="true" ma:fieldsID="34ca8d9a952f7ff5979a939b5ef4eaae" ns2:_="">
    <xsd:import namespace="473f34c4-19d0-481f-be5b-43ce8c44d05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34c4-19d0-481f-be5b-43ce8c44d0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73f34c4-19d0-481f-be5b-43ce8c44d05e">K37M64WRSFAP-1669-2</_dlc_DocId>
    <_dlc_DocIdUrl xmlns="473f34c4-19d0-481f-be5b-43ce8c44d05e">
      <Url>http://ww20.south-ayrshire.gov.uk/southayrshireway/_layouts/DocIdRedir.aspx?ID=K37M64WRSFAP-1669-2</Url>
      <Description>K37M64WRSFAP-1669-2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867E3-6609-463F-90ED-29C06E4F9130}">
  <ds:schemaRefs>
    <ds:schemaRef ds:uri="http://schemas.microsoft.com/sharepoint/events"/>
  </ds:schemaRefs>
</ds:datastoreItem>
</file>

<file path=customXml/itemProps2.xml><?xml version="1.0" encoding="utf-8"?>
<ds:datastoreItem xmlns:ds="http://schemas.openxmlformats.org/officeDocument/2006/customXml" ds:itemID="{9E52A1D3-5422-4BB8-8F81-70149BD47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34c4-19d0-481f-be5b-43ce8c44d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B046B-6A8E-4963-9D4E-B469AC306F48}">
  <ds:schemaRefs>
    <ds:schemaRef ds:uri="http://schemas.openxmlformats.org/officeDocument/2006/bibliography"/>
  </ds:schemaRefs>
</ds:datastoreItem>
</file>

<file path=customXml/itemProps4.xml><?xml version="1.0" encoding="utf-8"?>
<ds:datastoreItem xmlns:ds="http://schemas.openxmlformats.org/officeDocument/2006/customXml" ds:itemID="{E7BFCEF6-F8E0-46C6-A82F-623C003B4890}">
  <ds:schemaRefs>
    <ds:schemaRef ds:uri="http://schemas.microsoft.com/office/2006/metadata/properties"/>
    <ds:schemaRef ds:uri="http://schemas.microsoft.com/office/infopath/2007/PartnerControls"/>
    <ds:schemaRef ds:uri="473f34c4-19d0-481f-be5b-43ce8c44d05e"/>
  </ds:schemaRefs>
</ds:datastoreItem>
</file>

<file path=customXml/itemProps5.xml><?xml version="1.0" encoding="utf-8"?>
<ds:datastoreItem xmlns:ds="http://schemas.openxmlformats.org/officeDocument/2006/customXml" ds:itemID="{21931F8D-820F-49F9-B78B-E9EC71AA4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South Ayrshire Way Report Template</Template>
  <TotalTime>1</TotalTime>
  <Pages>5</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Galli, Maria</dc:creator>
  <cp:lastModifiedBy>Galloway, Jacqueline</cp:lastModifiedBy>
  <cp:revision>3</cp:revision>
  <dcterms:created xsi:type="dcterms:W3CDTF">2022-10-20T13:01:00Z</dcterms:created>
  <dcterms:modified xsi:type="dcterms:W3CDTF">2022-10-28T09:00:00Z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0x010100487D922B77CB524CA83A387123D92985</vt:lpwstr>
  </property>
  <property fmtid="{D5CDD505-2E9C-101B-9397-08002B2CF9AE}" pid="3" name="_dlc_DocIdItemGuid">
    <vt:lpwstr>1351e2b6-e99f-4fe0-8111-4b2620d8e804</vt:lpwstr>
  </property>
</Properties>
</file>